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left="0" w:leftChars="0" w:firstLine="2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粮食加工品</w:t>
      </w:r>
    </w:p>
    <w:p>
      <w:pPr>
        <w:numPr>
          <w:ilvl w:val="0"/>
          <w:numId w:val="2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食品添加剂使用标准》GB 2760-2014 、《食品安全国家标准 食品中污染物限量》GB 2762-2017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米线检验项目为铅（以Pb计）、二氧化硫残留量、苯甲酸及其钠盐（以苯甲酸计）、山梨酸及其钾盐（以山梨酸计）。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numPr>
          <w:ilvl w:val="0"/>
          <w:numId w:val="3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抽检依据为《食品安全国家标准食品添加剂使用标准》（GB 2760-2014）、《食品安全国家标准食品中污染物限量》（GB 2762-2017）、《食用植物油卫生标准》（GB 2716-2005）等标准及产品明示标准和指标的要求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spacing w:line="6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食用植物油检验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括酸价/酸价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、过氧化值、溶剂残留量、总砷（以As计）、铅（以Pb计）、苯并[a]芘、丁基羟基茴香醚（BHA）、二丁基羟基甲苯（BHT）、特丁基对苯二酚（TBHQ）。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食品中真菌毒素限量》（GB 2761-2017）、《食品安全国家标准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酱油卫生标准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2717-2003）、《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》（GB/T 18186-2000）、《配制酱油》（SB/T 10336-2012）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食醋卫生标准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 2719、《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》GB/T 18187-2000、《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配制食醋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10337-2012、食品整治办〔2008〕 3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《食品中可能违法添加的非食用物质和易滥用的食品添加剂品种名单（第五批）》（整顿办函〔2011〕1号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）、《食品安全国家标准食品中农药最大残留限量》（GB 2763-2016）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酱油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检验项目包括氨基酸态氮、铵盐（以占氨基酸态氮的百分比计）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2.食醋检验项目包括总酸（以乙酸计）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、糖精钠（以糖精计）、阿斯巴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3.香辛料类检验项目包括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铅（以Pb计）、苯甲酸及其钠盐（以苯甲酸计）、山梨酸及其钾盐（以山梨酸计）、糖精钠（以糖精计）、罗丹明B、苏丹红I、苏丹红Ⅱ、苏丹红III、苏丹红IV、戊唑醇。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4.火锅底料检验项目为罂粟碱、吗啡、可待因、那可丁、蒂巴因。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四、肉制品</w:t>
      </w:r>
    </w:p>
    <w:p>
      <w:pPr>
        <w:numPr>
          <w:ilvl w:val="0"/>
          <w:numId w:val="4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肉制品抽检依据为《食品安全国家标准 食品添加剂使用标准》GB 2760-2014 、《食品中可能违法添加的非食用物质和易滥用的食品添加剂品种名单(第五批)》整顿办函[2011]1号、企业标准等。</w:t>
      </w:r>
    </w:p>
    <w:p>
      <w:pPr>
        <w:numPr>
          <w:ilvl w:val="0"/>
          <w:numId w:val="4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1.酱卤肉检测项目为亚硝酸盐残留量（以NaNO2计）、苯甲酸及其钠盐（以苯甲酸计）、山梨酸及其钾盐（以山梨酸计）、胭脂红及其铝色淀（以胭脂红计）。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2.肉丸子检测项目为铅（以Pb计）、氯霉素。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五、乳制品</w:t>
      </w:r>
    </w:p>
    <w:p>
      <w:pPr>
        <w:numPr>
          <w:ilvl w:val="0"/>
          <w:numId w:val="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）、卫生部、 工业和信息化部、农业部、工商总局质检总局公告 2011 年第 10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《食品安全国家标准食品中致病菌限量》（GB 29921-2013）等标准及产品明示标准和指标的要求。</w:t>
      </w:r>
    </w:p>
    <w:p>
      <w:pPr>
        <w:numPr>
          <w:ilvl w:val="0"/>
          <w:numId w:val="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乳制品检验项目为亚硝酸盐（以NaNO2计）、蛋白质、三聚氰胺、铬（以Cr计）、总砷（以As计）、铅（以Pb计）、黄曲霉毒素M1、大肠菌群、金黄色葡萄球菌、沙门氏菌、菌落总数、水分。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7"/>
        </w:numPr>
        <w:tabs>
          <w:tab w:val="left" w:pos="358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饮料抽验依据为GB 2760-2014 《食品安全国家标准 食品添加剂使用标准》。</w:t>
      </w:r>
    </w:p>
    <w:p>
      <w:pPr>
        <w:numPr>
          <w:ilvl w:val="0"/>
          <w:numId w:val="7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饮料检验项目为苯甲酸及其钠盐(以苯甲酸计)、山梨酸及其钾盐（以山梨酸计）、糖精钠（以糖精计）、安赛蜜、日落黄、柠檬黄、脱氢乙酸及其钠盐（以脱氢乙酸计）。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numPr>
          <w:ilvl w:val="0"/>
          <w:numId w:val="8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薯类和膨化食品抽检依据为《食品安全国家标准 膨化食品》GB 17401-2014、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食品中致病菌限量》（GB 29921-2013）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（GB 2760-2014）等标准及产品明示标准和质量要求。</w:t>
      </w:r>
    </w:p>
    <w:p>
      <w:pPr>
        <w:numPr>
          <w:ilvl w:val="0"/>
          <w:numId w:val="8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检验项目为酸价（以脂肪计）（KOH)、过氧化值（以脂肪计）、铅（以Pb计）、黄曲霉毒素B1、苯甲酸及其钠盐（以苯甲酸计）、山梨酸及其钾盐（以山梨酸计）、糖精钠（以糖精计）、水分、大肠菌群、金黄色葡萄球菌、沙门氏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八、茶叶及相关制品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、《食品安全国家标准食品中农药最大残留限量》（GB 2763-2016）、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砖茶含氟量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19965-2005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《食品安全国家标准食品添加剂使用标准》（GB 2760-2014）等标准及产品明示标准和指标的要求。</w:t>
      </w:r>
    </w:p>
    <w:p>
      <w:pPr>
        <w:numPr>
          <w:ilvl w:val="0"/>
          <w:numId w:val="9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茶叶检验项目包括铅（以Pb计）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、吡虫啉、多菌灵、氯氰菊酯和高效氯氰菊酯、滴滴涕、三氯杀螨醇、氰戊菊酯和S-氰戊菊酯、甲胺磷、啶虫脒、吡蚜酮、敌百虫、甲拌磷、克百威、氯唑磷、灭线磷、水胺硫磷、氧乐果。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2.砖茶检验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、氟、苯醚甲环唑、哒螨灵、多菌灵、甲氰菊酯、硫丹、三氯杀螨醇、氰戊菊酯和S-氰戊菊酯、啶虫脒、吡蚜酮、敌百虫、甲拌磷、克百威、氯唑磷、灭线磷、水胺硫磷、氧乐果、茚虫威。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含茶制品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、菌落总数、大肠菌群。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代用茶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九、餐饮食品</w:t>
      </w:r>
    </w:p>
    <w:p>
      <w:pPr>
        <w:numPr>
          <w:ilvl w:val="0"/>
          <w:numId w:val="10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速冻调制食品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10379-2012、中华人民共和国卫生部、国家食品药品监督管理局公告 2012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0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肉丸子检验项目为亚硝酸盐残留量（以NaNO2计）、苯甲酸及其钠盐（以苯甲酸计）、山梨酸及其钾盐（以山梨酸计）。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酱卤肉检验项目为亚硝酸盐残留量（以NaNO2计）、苯甲酸及其钠盐（以苯甲酸计）、山梨酸及其钾盐（以山梨酸计）、胭脂红及其铝色淀（以胭脂红计）。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自制饮品检验项目为苯甲酸及其钠盐(以苯甲酸计)、山梨酸及其钾盐（以山梨酸计）、糖精钠（以糖精计）、安赛蜜、日落黄、柠檬黄。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油炸肉制品检验项目为苯甲酸及其钠盐（以苯甲酸计）、山梨酸及其钾盐（以山梨酸计）、糖精钠（以糖精计）、胭脂红。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5、油条检验项目为铝的残留量（干样品，以Al计）。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6、薯条检验项目为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7、豆浆检验项目为三氯蔗糖、铅（以Pb计）、山梨酸及其钾盐（以山梨酸计）、苯甲酸及其钠盐（以苯甲酸计）、糖精钠（以糖精计）、甜蜜素（以环己基氨基磺酸计）、脱氢乙酸及其钠盐（以脱氢乙酸计）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麻花检验项目为酸价（以脂肪计）(KOH)、过氧化值（以脂肪计）、铅（以Pb计）、苯甲酸及其钠盐（以苯甲酸计）、山梨酸及其钾盐（以山梨酸计）、脱氢乙酸及其钠盐（以脱氢乙酸计）、糖精钠（以糖精计）、甜蜜素（以环己基氨基磺酸计）、苏丹红I、苏丹红Ⅱ、苏丹红III、苏丹红IV、富马酸二甲酯、安赛蜜、铝的残留量（干样品，以Al计）、丙酸及其钠盐、钙盐(以丙酸计)、纳他霉素、三氯蔗糖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9、油炸土豆饼检验项目为糖精钠（以糖精计）、甜蜜素（以环己基氨基磺酸计）、铝的残留量（干样品，以Al计）。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十、食用农产品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食用农产品抽检依据为《食品安全国家标准 食品中农药最大残留限量》GB 2763-2016。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食用农产品蔬菜检项目为毒死蜱、啶虫脒、氧乐果、氟虫腈。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黑体" w:hAnsi="黑体" w:eastAsia="黑体"/>
          <w:b/>
          <w:bCs/>
          <w:w w:val="10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十一、</w:t>
      </w:r>
      <w:r>
        <w:rPr>
          <w:rFonts w:ascii="宋体" w:hAnsi="宋体" w:eastAsia="宋体"/>
          <w:b/>
          <w:bCs/>
          <w:w w:val="100"/>
          <w:sz w:val="32"/>
        </w:rPr>
        <w:t>水果制品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（一）抽检依据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抽检依据是GB2760-2014《食品安全国家标准 食品添加剂使用标准》、GB2762-2017《食品安全国家标准 食品中污染物限量》等标准、法律法规及产品明示标准和质量的要求。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水果制品的抽检项目包括苯甲酸、山梨酸、糖精钠、脱氢乙酸、甜蜜素、二氧化硫、柠檬黄、日落黄、三氯蔗糖、阿斯巴甜、铅（以Pb计）、商业无菌等。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ascii="黑体" w:hAnsi="黑体" w:eastAsia="黑体"/>
          <w:b w:val="0"/>
          <w:w w:val="10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十二、</w:t>
      </w:r>
      <w:r>
        <w:rPr>
          <w:rFonts w:ascii="黑体" w:hAnsi="黑体" w:eastAsia="黑体"/>
          <w:b w:val="0"/>
          <w:w w:val="100"/>
          <w:sz w:val="32"/>
        </w:rPr>
        <w:t>蜂产品</w:t>
      </w:r>
    </w:p>
    <w:p>
      <w:pPr>
        <w:widowControl/>
        <w:autoSpaceDE/>
        <w:autoSpaceDN/>
        <w:snapToGrid/>
        <w:spacing w:before="0" w:after="0" w:line="560" w:lineRule="exact"/>
        <w:ind w:left="0" w:firstLine="64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（一）抽检依据</w:t>
      </w:r>
    </w:p>
    <w:p>
      <w:pPr>
        <w:widowControl/>
        <w:autoSpaceDE/>
        <w:autoSpaceDN/>
        <w:snapToGrid/>
        <w:spacing w:before="0" w:after="0" w:line="560" w:lineRule="exact"/>
        <w:ind w:left="0" w:firstLine="64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抽检依据是GB2760-2014《食品安全国家标准 食品添加剂使用标准》、GB2762-2017《食品安全国家标准 食品中污染物限量》、GB2763-2016《食品安全国家标准 食品中农药最大残留限量》GB14963-2011《食品安全国家标准 蜂蜜》、农业部公告第235号《动物性食品中兽药最高残留限量》等标准、法律法规及产品明示标准和质量的要求。</w:t>
      </w:r>
    </w:p>
    <w:p>
      <w:pPr>
        <w:widowControl/>
        <w:autoSpaceDE/>
        <w:autoSpaceDN/>
        <w:snapToGrid/>
        <w:spacing w:before="0" w:after="0" w:line="560" w:lineRule="exact"/>
        <w:ind w:left="0" w:firstLine="64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（二）检验项目</w:t>
      </w:r>
    </w:p>
    <w:p>
      <w:pPr>
        <w:widowControl/>
        <w:autoSpaceDE/>
        <w:autoSpaceDN/>
        <w:snapToGrid/>
        <w:spacing w:before="0" w:after="0" w:line="560" w:lineRule="exact"/>
        <w:ind w:left="0" w:firstLine="640"/>
        <w:jc w:val="left"/>
        <w:rPr>
          <w:rFonts w:ascii="仿宋_GB2312" w:hAnsi="仿宋_GB2312" w:eastAsia="仿宋_GB2312"/>
          <w:b w:val="0"/>
          <w:w w:val="100"/>
          <w:sz w:val="32"/>
        </w:rPr>
      </w:pPr>
      <w:r>
        <w:rPr>
          <w:rFonts w:ascii="仿宋_GB2312" w:hAnsi="仿宋_GB2312" w:eastAsia="仿宋_GB2312"/>
          <w:b w:val="0"/>
          <w:w w:val="100"/>
          <w:sz w:val="32"/>
        </w:rPr>
        <w:t>蜂产品的抽检项目包括水分、蛋白质、铅（以Pd计）、山梨酸、糖精钠、菌落总数、大肠菌群、霉菌计数、嗜渗酵母计数、葡萄球和果糖、蔗糖、氯霉素、双甲脒、氟胺氰菊酯等。</w:t>
      </w:r>
    </w:p>
    <w:p>
      <w:pPr>
        <w:widowControl/>
        <w:autoSpaceDE/>
        <w:autoSpaceDN/>
        <w:snapToGrid/>
        <w:spacing w:before="0" w:after="0" w:line="560" w:lineRule="exact"/>
        <w:ind w:left="0" w:firstLine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60950"/>
    <w:multiLevelType w:val="singleLevel"/>
    <w:tmpl w:val="8986095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AAFAE876"/>
    <w:multiLevelType w:val="singleLevel"/>
    <w:tmpl w:val="AAFAE876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DF270BF"/>
    <w:multiLevelType w:val="singleLevel"/>
    <w:tmpl w:val="2DF270B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FAE6F9E"/>
    <w:multiLevelType w:val="singleLevel"/>
    <w:tmpl w:val="2FAE6F9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171850A"/>
    <w:multiLevelType w:val="singleLevel"/>
    <w:tmpl w:val="31718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548DD78"/>
    <w:multiLevelType w:val="singleLevel"/>
    <w:tmpl w:val="3548DD7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8">
    <w:nsid w:val="4068500D"/>
    <w:multiLevelType w:val="singleLevel"/>
    <w:tmpl w:val="4068500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4558C214"/>
    <w:multiLevelType w:val="singleLevel"/>
    <w:tmpl w:val="4558C21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95A9BCB"/>
    <w:multiLevelType w:val="singleLevel"/>
    <w:tmpl w:val="795A9BC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4476C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4A29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CF07679"/>
    <w:rsid w:val="0F034299"/>
    <w:rsid w:val="1C602311"/>
    <w:rsid w:val="1D050C19"/>
    <w:rsid w:val="1FC27DA1"/>
    <w:rsid w:val="1FC45F9F"/>
    <w:rsid w:val="20675173"/>
    <w:rsid w:val="21694158"/>
    <w:rsid w:val="218A32EA"/>
    <w:rsid w:val="31082ECB"/>
    <w:rsid w:val="31742403"/>
    <w:rsid w:val="33EE59F7"/>
    <w:rsid w:val="37E1352A"/>
    <w:rsid w:val="3E9664B8"/>
    <w:rsid w:val="42C16A0B"/>
    <w:rsid w:val="42EB74CC"/>
    <w:rsid w:val="491B348A"/>
    <w:rsid w:val="4C9B53A8"/>
    <w:rsid w:val="4D0066C1"/>
    <w:rsid w:val="4DE258E1"/>
    <w:rsid w:val="4E48046C"/>
    <w:rsid w:val="500D43CC"/>
    <w:rsid w:val="559A2368"/>
    <w:rsid w:val="591C450F"/>
    <w:rsid w:val="597443BC"/>
    <w:rsid w:val="60415AD1"/>
    <w:rsid w:val="64AC1095"/>
    <w:rsid w:val="6846490A"/>
    <w:rsid w:val="6C9775B4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9</Pages>
  <Words>673</Words>
  <Characters>3838</Characters>
  <Lines>31</Lines>
  <Paragraphs>9</Paragraphs>
  <TotalTime>0</TotalTime>
  <ScaleCrop>false</ScaleCrop>
  <LinksUpToDate>false</LinksUpToDate>
  <CharactersWithSpaces>4502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﹊心动才会心痛</cp:lastModifiedBy>
  <cp:lastPrinted>2019-11-09T10:20:00Z</cp:lastPrinted>
  <dcterms:modified xsi:type="dcterms:W3CDTF">2020-11-05T06:07:58Z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