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77425"/>
      <w:bookmarkStart w:id="4" w:name="_Toc15396475"/>
      <w:bookmarkStart w:id="5" w:name="_Toc15377193"/>
      <w:bookmarkStart w:id="6" w:name="_Toc2415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bookmarkStart w:id="7" w:name="_Toc15396598"/>
      <w:bookmarkStart w:id="8" w:name="_Toc15396476"/>
      <w:bookmarkStart w:id="9" w:name="_Toc30805"/>
      <w:bookmarkStart w:id="10" w:name="_Toc15377426"/>
      <w:bookmarkStart w:id="11" w:name="_Toc15378442"/>
      <w:bookmarkStart w:id="12" w:name="_Toc15377194"/>
      <w:r>
        <w:rPr>
          <w:rFonts w:hint="eastAsia" w:ascii="方正小标宋简体" w:hAnsi="方正小标宋简体" w:eastAsia="方正小标宋简体" w:cs="方正小标宋简体"/>
          <w:color w:val="auto"/>
          <w:sz w:val="56"/>
          <w:szCs w:val="56"/>
          <w:highlight w:val="none"/>
          <w:lang w:val="en-US" w:eastAsia="zh-CN"/>
        </w:rPr>
        <w:t>巴中市</w:t>
      </w:r>
      <w:bookmarkStart w:id="13" w:name="_Toc15306268"/>
      <w:r>
        <w:rPr>
          <w:rFonts w:hint="eastAsia" w:ascii="方正小标宋简体" w:hAnsi="方正小标宋简体" w:eastAsia="方正小标宋简体" w:cs="方正小标宋简体"/>
          <w:b/>
          <w:bCs/>
          <w:color w:val="auto"/>
          <w:sz w:val="56"/>
          <w:szCs w:val="56"/>
          <w:highlight w:val="none"/>
          <w:lang w:val="en-US" w:eastAsia="zh-CN"/>
        </w:rPr>
        <w:t>计量检定测试所</w:t>
      </w:r>
      <w:r>
        <w:rPr>
          <w:rFonts w:hint="eastAsia" w:ascii="方正小标宋简体" w:hAnsi="方正小标宋简体" w:eastAsia="方正小标宋简体" w:cs="方正小标宋简体"/>
          <w:color w:val="auto"/>
          <w:sz w:val="56"/>
          <w:szCs w:val="56"/>
          <w:highlight w:val="none"/>
          <w:lang w:eastAsia="zh-CN"/>
        </w:rPr>
        <w:t>单位</w:t>
      </w:r>
      <w:r>
        <w:rPr>
          <w:rFonts w:hint="eastAsia" w:ascii="方正小标宋简体" w:hAnsi="方正小标宋简体" w:eastAsia="方正小标宋简体" w:cs="方正小标宋简体"/>
          <w:color w:val="auto"/>
          <w:sz w:val="56"/>
          <w:szCs w:val="56"/>
          <w:highlight w:val="none"/>
        </w:rPr>
        <w:t>决算</w:t>
      </w:r>
      <w:bookmarkEnd w:id="7"/>
      <w:bookmarkEnd w:id="8"/>
      <w:bookmarkEnd w:id="9"/>
      <w:bookmarkEnd w:id="10"/>
      <w:bookmarkEnd w:id="11"/>
      <w:bookmarkEnd w:id="12"/>
      <w:bookmarkEnd w:id="13"/>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10月13</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0118"/>
        <w15:color w:val="DBDBDB"/>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fldChar w:fldCharType="begin"/>
          </w:r>
          <w:r>
            <w:instrText xml:space="preserve">TOC \o "1-2" \h \u </w:instrText>
          </w:r>
          <w:r>
            <w:fldChar w:fldCharType="separate"/>
          </w:r>
        </w:p>
        <w:p>
          <w:pPr>
            <w:pStyle w:val="31"/>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_Toc23931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 xml:space="preserve">第一部分 </w:t>
          </w:r>
          <w:r>
            <w:rPr>
              <w:rFonts w:hint="eastAsia" w:ascii="仿宋" w:hAnsi="仿宋" w:eastAsia="仿宋" w:cs="仿宋"/>
              <w:b/>
              <w:sz w:val="24"/>
              <w:szCs w:val="24"/>
              <w:highlight w:val="none"/>
              <w:lang w:eastAsia="zh-CN"/>
            </w:rPr>
            <w:t>单位</w:t>
          </w:r>
          <w:r>
            <w:rPr>
              <w:rFonts w:hint="eastAsia" w:ascii="仿宋" w:hAnsi="仿宋" w:eastAsia="仿宋" w:cs="仿宋"/>
              <w:b/>
              <w:bCs w:val="0"/>
              <w:sz w:val="24"/>
              <w:szCs w:val="24"/>
              <w:highlight w:val="none"/>
            </w:rPr>
            <w:t>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_Toc23931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_Toc32385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eastAsia="zh-CN"/>
            </w:rPr>
            <w:t xml:space="preserve">一、 </w:t>
          </w:r>
          <w:r>
            <w:rPr>
              <w:rFonts w:hint="eastAsia" w:ascii="仿宋" w:hAnsi="仿宋" w:eastAsia="仿宋" w:cs="仿宋"/>
              <w:bCs w:val="0"/>
              <w:sz w:val="24"/>
              <w:szCs w:val="24"/>
              <w:highlight w:val="none"/>
              <w:lang w:eastAsia="zh-CN"/>
            </w:rPr>
            <w:t>主要职责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_Toc32385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_Toc27196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lang w:val="en-US" w:eastAsia="zh-CN"/>
            </w:rPr>
            <w:t>二、机构设置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_Toc27196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_Toc13969 </w:instrText>
          </w:r>
          <w:r>
            <w:rPr>
              <w:rFonts w:hint="eastAsia" w:ascii="仿宋" w:hAnsi="仿宋" w:eastAsia="仿宋" w:cs="仿宋"/>
              <w:b/>
              <w:sz w:val="24"/>
              <w:szCs w:val="24"/>
            </w:rPr>
            <w:fldChar w:fldCharType="separate"/>
          </w:r>
          <w:r>
            <w:rPr>
              <w:rFonts w:hint="eastAsia" w:ascii="仿宋" w:hAnsi="仿宋" w:eastAsia="仿宋" w:cs="仿宋"/>
              <w:b/>
              <w:bCs/>
              <w:sz w:val="24"/>
              <w:szCs w:val="24"/>
              <w:highlight w:val="none"/>
            </w:rPr>
            <w:t xml:space="preserve">第二部分 </w:t>
          </w:r>
          <w:r>
            <w:rPr>
              <w:rFonts w:hint="eastAsia" w:ascii="仿宋" w:hAnsi="仿宋" w:eastAsia="仿宋" w:cs="仿宋"/>
              <w:b/>
              <w:bCs/>
              <w:sz w:val="24"/>
              <w:szCs w:val="24"/>
              <w:highlight w:val="none"/>
              <w:lang w:val="en-US" w:eastAsia="zh-CN"/>
            </w:rPr>
            <w:t>2022年度</w:t>
          </w:r>
          <w:r>
            <w:rPr>
              <w:rFonts w:hint="eastAsia" w:ascii="仿宋" w:hAnsi="仿宋" w:eastAsia="仿宋" w:cs="仿宋"/>
              <w:b/>
              <w:bCs/>
              <w:sz w:val="24"/>
              <w:szCs w:val="24"/>
              <w:highlight w:val="none"/>
              <w:lang w:eastAsia="zh-CN"/>
            </w:rPr>
            <w:t>单位</w:t>
          </w:r>
          <w:r>
            <w:rPr>
              <w:rFonts w:hint="eastAsia" w:ascii="仿宋" w:hAnsi="仿宋" w:eastAsia="仿宋" w:cs="仿宋"/>
              <w:b/>
              <w:bCs/>
              <w:sz w:val="24"/>
              <w:szCs w:val="24"/>
              <w:highlight w:val="none"/>
            </w:rPr>
            <w:t>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_Toc13969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_Toc28466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_Toc28466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_Toc18401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_Toc18401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_Toc19991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_Toc19991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_Toc16957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_Toc21770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_Toc21770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_Toc17223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_Toc17676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_Toc17676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_Toc21677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_Toc21677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_Toc19310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_Toc19310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_Toc2285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_Toc2285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_Toc29468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24"/>
              <w:highlight w:val="none"/>
            </w:rPr>
            <w:t>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_Toc29468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12</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1"/>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_Toc29883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_Toc29883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1"/>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_Toc23972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_Toc23972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_Toc16284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_Toc16284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_Toc13562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_Toc29633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_Toc29633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_Toc18612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_Toc18612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_Toc3126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_Toc22549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_Toc22549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_Toc22772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_Toc22772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_Toc29136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_Toc29136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_Toc14853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_Toc14853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_Toc14713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_Toc14713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_Toc16785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_Toc16785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_Toc10717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_Toc10717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_Toc29550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_Toc29550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b/>
            </w:rPr>
            <w:fldChar w:fldCharType="end"/>
          </w:r>
        </w:p>
      </w:sdtContent>
    </w:sdt>
    <w:p>
      <w:pPr>
        <w:pStyle w:val="2"/>
        <w:jc w:val="center"/>
        <w:rPr>
          <w:rFonts w:hint="eastAsia" w:ascii="黑体" w:hAnsi="黑体" w:eastAsia="黑体"/>
          <w:b w:val="0"/>
          <w:color w:val="auto"/>
          <w:highlight w:val="none"/>
        </w:rPr>
        <w:sectPr>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425" w:num="1"/>
          <w:titlePg/>
          <w:docGrid w:type="lines" w:linePitch="312" w:charSpace="0"/>
        </w:sectPr>
      </w:pPr>
      <w:bookmarkStart w:id="14" w:name="_Toc23931"/>
      <w:bookmarkStart w:id="15" w:name="_Toc15377196"/>
      <w:bookmarkStart w:id="16" w:name="_Toc15396599"/>
    </w:p>
    <w:p>
      <w:pPr>
        <w:pStyle w:val="2"/>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3"/>
        <w:numPr>
          <w:ilvl w:val="0"/>
          <w:numId w:val="1"/>
        </w:numPr>
        <w:rPr>
          <w:rStyle w:val="26"/>
          <w:rFonts w:hint="eastAsia" w:ascii="黑体" w:hAnsi="黑体" w:eastAsia="黑体"/>
          <w:b w:val="0"/>
          <w:bCs w:val="0"/>
          <w:color w:val="auto"/>
          <w:highlight w:val="none"/>
          <w:lang w:eastAsia="zh-CN"/>
        </w:rPr>
      </w:pPr>
      <w:bookmarkStart w:id="17" w:name="_Toc32385"/>
      <w:bookmarkStart w:id="18" w:name="_Toc15396600"/>
      <w:bookmarkStart w:id="19" w:name="_Toc15377197"/>
      <w:r>
        <w:rPr>
          <w:rStyle w:val="26"/>
          <w:rFonts w:hint="eastAsia" w:ascii="黑体" w:hAnsi="黑体" w:eastAsia="黑体"/>
          <w:b w:val="0"/>
          <w:bCs w:val="0"/>
          <w:color w:val="auto"/>
          <w:highlight w:val="none"/>
          <w:lang w:eastAsia="zh-CN"/>
        </w:rPr>
        <w:t>主要职责</w:t>
      </w:r>
      <w:bookmarkEnd w:id="17"/>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巴中市计量检定测试所负责研究建立巴中市最高计量标准和社会公用计量标准；开展辖区量值传递，执行强制检定、仲裁检定和法律规定的其他检定和测试任务，保证本行政区域内量值传递的准确可靠，计量单位制的统一；承担商品量检验和其他检测工作；开展社会公正计量、校准及其他检测服务；起草、编写计量技术文件；为政府计量行政部门依法行政提供技术保障；承担政府计量行政部门交办的有关计量监督工作和计量标准考核（复查）、计量检定人员培训等其他工作；为计量事业相关单位提供技术支持与帮助；对社会提供计量技术咨询服务。</w:t>
      </w:r>
    </w:p>
    <w:p>
      <w:pPr>
        <w:rPr>
          <w:rFonts w:hint="eastAsia"/>
          <w:lang w:eastAsia="zh-CN"/>
        </w:rPr>
      </w:pPr>
    </w:p>
    <w:p>
      <w:pPr>
        <w:pStyle w:val="3"/>
        <w:numPr>
          <w:ilvl w:val="0"/>
          <w:numId w:val="1"/>
        </w:numPr>
        <w:ind w:left="0" w:leftChars="0" w:firstLine="0" w:firstLineChars="0"/>
        <w:rPr>
          <w:rFonts w:hint="eastAsia" w:ascii="黑体" w:hAnsi="黑体" w:eastAsia="黑体"/>
          <w:b w:val="0"/>
          <w:color w:val="auto"/>
          <w:highlight w:val="none"/>
          <w:lang w:val="en-US" w:eastAsia="zh-CN"/>
        </w:rPr>
      </w:pPr>
      <w:bookmarkStart w:id="20" w:name="_Toc27196"/>
      <w:r>
        <w:rPr>
          <w:rFonts w:hint="eastAsia" w:ascii="黑体" w:hAnsi="黑体" w:eastAsia="黑体"/>
          <w:b w:val="0"/>
          <w:color w:val="auto"/>
          <w:highlight w:val="none"/>
          <w:lang w:val="en-US" w:eastAsia="zh-CN"/>
        </w:rPr>
        <w:t>机构设置</w:t>
      </w:r>
      <w:bookmarkEnd w:id="20"/>
    </w:p>
    <w:p>
      <w:pPr>
        <w:spacing w:line="600" w:lineRule="exact"/>
        <w:ind w:firstLine="640" w:firstLineChars="200"/>
        <w:rPr>
          <w:rFonts w:hint="eastAsia" w:ascii="仿宋" w:hAnsi="仿宋" w:eastAsia="仿宋" w:cs="Times New Roman"/>
          <w:color w:val="auto"/>
          <w:sz w:val="32"/>
          <w:szCs w:val="32"/>
          <w:highlight w:val="none"/>
          <w:lang w:val="en-US" w:eastAsia="zh-Hans"/>
        </w:rPr>
      </w:pPr>
      <w:r>
        <w:rPr>
          <w:rFonts w:hint="eastAsia" w:ascii="仿宋" w:hAnsi="仿宋" w:eastAsia="仿宋" w:cs="Times New Roman"/>
          <w:color w:val="auto"/>
          <w:sz w:val="32"/>
          <w:szCs w:val="32"/>
          <w:highlight w:val="none"/>
          <w:lang w:val="en-US" w:eastAsia="zh-CN"/>
        </w:rPr>
        <w:t>市计量检定测试所2022年财政预算财政供给人员23人，供给车辆5辆</w:t>
      </w:r>
      <w:r>
        <w:rPr>
          <w:rFonts w:hint="eastAsia" w:ascii="仿宋" w:hAnsi="仿宋" w:eastAsia="仿宋" w:cs="Times New Roman"/>
          <w:color w:val="auto"/>
          <w:sz w:val="32"/>
          <w:szCs w:val="32"/>
          <w:highlight w:val="none"/>
          <w:lang w:val="en-US" w:eastAsia="zh-Hans"/>
        </w:rPr>
        <w:t>。</w:t>
      </w:r>
    </w:p>
    <w:p>
      <w:pPr>
        <w:spacing w:line="600" w:lineRule="exact"/>
        <w:ind w:firstLine="640" w:firstLineChars="200"/>
        <w:rPr>
          <w:rFonts w:hint="eastAsia" w:ascii="仿宋" w:hAnsi="仿宋" w:eastAsia="仿宋" w:cs="Times New Roman"/>
          <w:color w:val="auto"/>
          <w:sz w:val="32"/>
          <w:szCs w:val="32"/>
          <w:highlight w:val="none"/>
          <w:lang w:val="en-US" w:eastAsia="zh-Hans"/>
        </w:rPr>
      </w:pPr>
      <w:r>
        <w:rPr>
          <w:rFonts w:hint="eastAsia" w:ascii="仿宋" w:hAnsi="仿宋" w:eastAsia="仿宋" w:cs="Times New Roman"/>
          <w:color w:val="auto"/>
          <w:sz w:val="32"/>
          <w:szCs w:val="32"/>
          <w:highlight w:val="none"/>
          <w:lang w:val="en-US" w:eastAsia="zh-CN"/>
        </w:rPr>
        <w:t>市计量检定测试所2022年下属二级预算单位0个，其中行政单位0个，参照公务员法管理的事业单位0个，其他事业单位0个。</w:t>
      </w:r>
    </w:p>
    <w:p>
      <w:pPr>
        <w:rPr>
          <w:rFonts w:hint="eastAsia"/>
          <w:lang w:val="en-US" w:eastAsia="zh-CN"/>
        </w:rPr>
      </w:pPr>
    </w:p>
    <w:p>
      <w:pPr>
        <w:rPr>
          <w:rFonts w:hint="default"/>
          <w:lang w:val="en-US" w:eastAsia="zh-CN"/>
        </w:rPr>
      </w:pPr>
      <w:r>
        <w:rPr>
          <w:rFonts w:hint="eastAsia" w:ascii="黑体" w:hAnsi="黑体" w:eastAsia="黑体"/>
          <w:b w:val="0"/>
          <w:color w:val="auto"/>
          <w:highlight w:val="none"/>
          <w:lang w:val="en-US" w:eastAsia="zh-CN"/>
        </w:rPr>
        <w:t xml:space="preserve">  </w:t>
      </w:r>
    </w:p>
    <w:bookmarkEnd w:id="18"/>
    <w:bookmarkEnd w:id="19"/>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5"/>
          <w:rFonts w:ascii="黑体" w:hAnsi="黑体" w:eastAsia="黑体"/>
          <w:b w:val="0"/>
          <w:bCs/>
          <w:color w:val="auto"/>
          <w:highlight w:val="none"/>
        </w:rPr>
      </w:pPr>
      <w:bookmarkStart w:id="21" w:name="_Toc13969"/>
      <w:bookmarkStart w:id="22" w:name="_Toc15396602"/>
      <w:bookmarkStart w:id="23" w:name="_Toc15377204"/>
      <w:r>
        <w:rPr>
          <w:rFonts w:hint="eastAsia" w:ascii="黑体" w:hAnsi="黑体" w:eastAsia="黑体"/>
          <w:b w:val="0"/>
          <w:bCs/>
          <w:color w:val="auto"/>
          <w:highlight w:val="none"/>
          <w:lang w:val="en-US" w:eastAsia="zh-CN"/>
        </w:rPr>
        <w:t xml:space="preserve"> </w:t>
      </w: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4" w:name="_Toc15377205"/>
      <w:bookmarkStart w:id="25" w:name="_Toc28466"/>
      <w:bookmarkStart w:id="26"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1037.72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减少37.36万元、支出总计减少41.34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 xml:space="preserve">收入总计减少7.41% </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 xml:space="preserve">支出总计减少7.75% </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财政压减预算收入。</w:t>
      </w:r>
    </w:p>
    <w:p>
      <w:pPr>
        <w:spacing w:line="600" w:lineRule="exac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194945</wp:posOffset>
            </wp:positionH>
            <wp:positionV relativeFrom="paragraph">
              <wp:posOffset>90805</wp:posOffset>
            </wp:positionV>
            <wp:extent cx="4702810" cy="2911475"/>
            <wp:effectExtent l="4445" t="4445" r="17145" b="177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hint="eastAsia" w:ascii="仿宋" w:hAnsi="仿宋" w:eastAsia="仿宋"/>
          <w:color w:val="auto"/>
          <w:sz w:val="32"/>
          <w:szCs w:val="32"/>
          <w:highlight w:val="none"/>
          <w:lang w:eastAsia="zh-CN"/>
        </w:rPr>
      </w:pPr>
    </w:p>
    <w:p>
      <w:pPr>
        <w:spacing w:line="600" w:lineRule="exact"/>
        <w:rPr>
          <w:rFonts w:hint="eastAsia" w:ascii="仿宋" w:hAnsi="仿宋" w:eastAsia="仿宋"/>
          <w:color w:val="auto"/>
          <w:sz w:val="32"/>
          <w:szCs w:val="32"/>
          <w:highlight w:val="none"/>
          <w:lang w:eastAsia="zh-CN"/>
        </w:rPr>
      </w:pPr>
    </w:p>
    <w:p>
      <w:pPr>
        <w:pStyle w:val="5"/>
        <w:rPr>
          <w:rFonts w:hint="eastAsia" w:ascii="仿宋" w:hAnsi="仿宋" w:eastAsia="仿宋"/>
          <w:color w:val="auto"/>
          <w:sz w:val="32"/>
          <w:szCs w:val="32"/>
          <w:highlight w:val="none"/>
          <w:lang w:eastAsia="zh-CN"/>
        </w:rPr>
      </w:pPr>
    </w:p>
    <w:p>
      <w:pPr>
        <w:pStyle w:val="5"/>
        <w:rPr>
          <w:rFonts w:hint="eastAsia" w:ascii="仿宋" w:hAnsi="仿宋" w:eastAsia="仿宋"/>
          <w:color w:val="auto"/>
          <w:sz w:val="32"/>
          <w:szCs w:val="32"/>
          <w:highlight w:val="none"/>
          <w:lang w:eastAsia="zh-CN"/>
        </w:rPr>
      </w:pPr>
    </w:p>
    <w:p>
      <w:pPr>
        <w:pStyle w:val="5"/>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5"/>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7" w:name="_Toc18401"/>
      <w:bookmarkStart w:id="28" w:name="_Toc15396604"/>
      <w:bookmarkStart w:id="29"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仿宋" w:hAnsi="仿宋" w:eastAsia="仿宋"/>
          <w:color w:val="auto"/>
          <w:sz w:val="32"/>
          <w:szCs w:val="32"/>
          <w:highlight w:val="none"/>
          <w:lang w:eastAsia="zh-CN"/>
        </w:rPr>
      </w:pPr>
      <w:bookmarkStart w:id="30" w:name="_Toc2555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504.03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504.03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bookmarkEnd w:id="30"/>
      <w:r>
        <w:rPr>
          <w:rFonts w:hint="eastAsia" w:ascii="仿宋" w:hAnsi="仿宋" w:eastAsia="仿宋"/>
          <w:color w:val="auto"/>
          <w:sz w:val="32"/>
          <w:szCs w:val="32"/>
          <w:highlight w:val="none"/>
          <w:lang w:eastAsia="zh-CN"/>
        </w:rPr>
        <w:t>。</w:t>
      </w:r>
    </w:p>
    <w:p>
      <w:pPr>
        <w:pStyle w:val="5"/>
      </w:pPr>
    </w:p>
    <w:p>
      <w:pPr>
        <w:pStyle w:val="5"/>
      </w:pPr>
    </w:p>
    <w:p>
      <w:pPr>
        <w:pStyle w:val="5"/>
      </w:pPr>
    </w:p>
    <w:p>
      <w:pPr>
        <w:spacing w:line="600" w:lineRule="exact"/>
        <w:ind w:firstLine="1470" w:firstLineChars="700"/>
        <w:rPr>
          <w:rFonts w:ascii="仿宋" w:hAnsi="仿宋" w:eastAsia="仿宋"/>
          <w:color w:val="auto"/>
          <w:sz w:val="32"/>
          <w:szCs w:val="32"/>
          <w:highlight w:val="none"/>
        </w:rPr>
      </w:pPr>
      <w:r>
        <w:drawing>
          <wp:anchor distT="0" distB="0" distL="114300" distR="114300" simplePos="0" relativeHeight="251660288" behindDoc="1" locked="0" layoutInCell="1" allowOverlap="1">
            <wp:simplePos x="0" y="0"/>
            <wp:positionH relativeFrom="column">
              <wp:posOffset>490220</wp:posOffset>
            </wp:positionH>
            <wp:positionV relativeFrom="paragraph">
              <wp:posOffset>-786130</wp:posOffset>
            </wp:positionV>
            <wp:extent cx="4210685" cy="2435860"/>
            <wp:effectExtent l="5080" t="4445" r="13335" b="17145"/>
            <wp:wrapTight wrapText="bothSides">
              <wp:wrapPolygon>
                <wp:start x="-26" y="-39"/>
                <wp:lineTo x="-26" y="21414"/>
                <wp:lineTo x="21571" y="21414"/>
                <wp:lineTo x="21571" y="-39"/>
                <wp:lineTo x="-26" y="-39"/>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31" w:name="_Toc15396605"/>
      <w:bookmarkStart w:id="32" w:name="_Toc19991"/>
      <w:bookmarkStart w:id="3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rPr>
      </w:pPr>
      <w:bookmarkStart w:id="34" w:name="_Toc2758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533.69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501.73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94.01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31.96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5.99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spacing w:line="600" w:lineRule="exact"/>
        <w:ind w:firstLine="1600" w:firstLineChars="500"/>
        <w:jc w:val="both"/>
        <w:rPr>
          <w:rFonts w:ascii="仿宋" w:hAnsi="仿宋" w:eastAsia="仿宋"/>
          <w:color w:val="auto"/>
          <w:sz w:val="32"/>
          <w:szCs w:val="32"/>
          <w:highlight w:val="none"/>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2336" behindDoc="0" locked="0" layoutInCell="1" allowOverlap="1">
            <wp:simplePos x="0" y="0"/>
            <wp:positionH relativeFrom="column">
              <wp:posOffset>97155</wp:posOffset>
            </wp:positionH>
            <wp:positionV relativeFrom="paragraph">
              <wp:posOffset>166370</wp:posOffset>
            </wp:positionV>
            <wp:extent cx="5010150" cy="2778760"/>
            <wp:effectExtent l="4445" t="4445" r="14605" b="1714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5" w:name="_Toc16957"/>
      <w:bookmarkStart w:id="36" w:name="_Toc15377208"/>
      <w:bookmarkStart w:id="37"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1037.72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val="en-US" w:eastAsia="zh-CN"/>
        </w:rPr>
        <w:t>财政拨款</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减少37.36万元、财政拨款支出总计减少41.34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财政拨款收入总计减少7.41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财政拨款支出总计减少7.75%</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财政压减预算收入。</w:t>
      </w:r>
    </w:p>
    <w:p>
      <w:pPr>
        <w:numPr>
          <w:ilvl w:val="0"/>
          <w:numId w:val="0"/>
        </w:numPr>
        <w:spacing w:line="600" w:lineRule="exact"/>
        <w:ind w:leftChars="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43180</wp:posOffset>
            </wp:positionH>
            <wp:positionV relativeFrom="paragraph">
              <wp:posOffset>147320</wp:posOffset>
            </wp:positionV>
            <wp:extent cx="5256530" cy="2988310"/>
            <wp:effectExtent l="47625" t="34925" r="48895" b="6286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8" w:name="_Toc15396607"/>
      <w:bookmarkStart w:id="39" w:name="_Toc15377209"/>
      <w:bookmarkStart w:id="40" w:name="_Toc2177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2" w:firstLineChars="200"/>
        <w:outlineLvl w:val="2"/>
        <w:rPr>
          <w:rFonts w:ascii="仿宋" w:hAnsi="仿宋" w:eastAsia="仿宋"/>
          <w:b/>
          <w:color w:val="auto"/>
          <w:sz w:val="32"/>
          <w:szCs w:val="32"/>
          <w:highlight w:val="none"/>
        </w:rPr>
      </w:pPr>
      <w:bookmarkStart w:id="41" w:name="_Toc15377210"/>
      <w:r>
        <w:rPr>
          <w:rFonts w:hint="eastAsia" w:ascii="仿宋" w:hAnsi="仿宋" w:eastAsia="仿宋"/>
          <w:b/>
          <w:color w:val="auto"/>
          <w:sz w:val="32"/>
          <w:szCs w:val="32"/>
          <w:highlight w:val="none"/>
        </w:rPr>
        <w:t>（一）一般公共预算财政拨款支出决算总体情况</w:t>
      </w:r>
      <w:bookmarkEnd w:id="41"/>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82550</wp:posOffset>
            </wp:positionH>
            <wp:positionV relativeFrom="paragraph">
              <wp:posOffset>1668780</wp:posOffset>
            </wp:positionV>
            <wp:extent cx="4866640" cy="1388745"/>
            <wp:effectExtent l="47625" t="47625" r="57785" b="4953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eastAsia="zh-CN"/>
        </w:rPr>
        <w:t>533.69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8.63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1.62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是财政压减预算收入</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2" w:firstLineChars="200"/>
        <w:outlineLvl w:val="2"/>
        <w:rPr>
          <w:rFonts w:ascii="仿宋" w:hAnsi="仿宋" w:eastAsia="仿宋"/>
          <w:b/>
          <w:color w:val="auto"/>
          <w:sz w:val="32"/>
          <w:szCs w:val="32"/>
          <w:highlight w:val="none"/>
        </w:rPr>
      </w:pPr>
      <w:bookmarkStart w:id="42" w:name="_Toc15377211"/>
      <w:r>
        <w:rPr>
          <w:rFonts w:hint="eastAsia" w:ascii="仿宋" w:hAnsi="仿宋" w:eastAsia="仿宋"/>
          <w:b/>
          <w:color w:val="auto"/>
          <w:sz w:val="32"/>
          <w:szCs w:val="32"/>
          <w:highlight w:val="none"/>
        </w:rPr>
        <w:t>（二）一般公共预算财政拨款支出决算结构情况</w:t>
      </w:r>
      <w:bookmarkEnd w:id="42"/>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5408" behindDoc="0" locked="0" layoutInCell="1" allowOverlap="1">
            <wp:simplePos x="0" y="0"/>
            <wp:positionH relativeFrom="column">
              <wp:posOffset>136525</wp:posOffset>
            </wp:positionH>
            <wp:positionV relativeFrom="paragraph">
              <wp:posOffset>1668145</wp:posOffset>
            </wp:positionV>
            <wp:extent cx="5085080" cy="2959735"/>
            <wp:effectExtent l="4445" t="4445" r="15875" b="762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w:t>
      </w:r>
      <w:r>
        <w:rPr>
          <w:rFonts w:hint="eastAsia" w:ascii="仿宋" w:hAnsi="仿宋" w:eastAsia="仿宋"/>
          <w:color w:val="auto"/>
          <w:sz w:val="32"/>
          <w:szCs w:val="32"/>
          <w:highlight w:val="none"/>
          <w:lang w:eastAsia="zh-CN"/>
        </w:rPr>
        <w:t>出533.69万</w:t>
      </w:r>
      <w:r>
        <w:rPr>
          <w:rFonts w:hint="eastAsia" w:ascii="仿宋" w:hAnsi="仿宋" w:eastAsia="仿宋"/>
          <w:color w:val="auto"/>
          <w:sz w:val="32"/>
          <w:szCs w:val="32"/>
          <w:highlight w:val="none"/>
        </w:rPr>
        <w:t>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eastAsia="zh-CN"/>
        </w:rPr>
        <w:t>453.29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84.94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eastAsia="zh-CN"/>
        </w:rPr>
        <w:t>31.81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5.96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eastAsia="zh-CN"/>
        </w:rPr>
        <w:t>15.98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2.99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eastAsia="zh-CN"/>
        </w:rPr>
        <w:t>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6.11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43" w:name="_Toc15377212"/>
      <w:r>
        <w:rPr>
          <w:rFonts w:hint="eastAsia" w:ascii="仿宋" w:hAnsi="仿宋" w:eastAsia="仿宋"/>
          <w:b/>
          <w:color w:val="auto"/>
          <w:sz w:val="32"/>
          <w:szCs w:val="32"/>
          <w:highlight w:val="none"/>
        </w:rPr>
        <w:t>（三）一般公共预算财政拨款支出决算具体情况</w:t>
      </w:r>
      <w:bookmarkEnd w:id="43"/>
    </w:p>
    <w:p>
      <w:pPr>
        <w:spacing w:line="600" w:lineRule="exact"/>
        <w:ind w:firstLine="642" w:firstLineChars="200"/>
        <w:outlineLvl w:val="1"/>
        <w:rPr>
          <w:rFonts w:ascii="仿宋" w:hAnsi="仿宋" w:eastAsia="仿宋"/>
          <w:color w:val="auto"/>
          <w:sz w:val="32"/>
          <w:szCs w:val="32"/>
          <w:highlight w:val="none"/>
        </w:rPr>
      </w:pPr>
      <w:bookmarkStart w:id="44" w:name="_Toc15377213"/>
      <w:bookmarkStart w:id="45" w:name="_Toc19529"/>
      <w:bookmarkStart w:id="46" w:name="_Toc15377444"/>
      <w:bookmarkStart w:id="47"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eastAsia="zh-CN"/>
        </w:rPr>
        <w:t>533.69</w:t>
      </w:r>
      <w:r>
        <w:rPr>
          <w:rFonts w:hint="eastAsia" w:ascii="仿宋" w:hAnsi="仿宋" w:eastAsia="仿宋"/>
          <w:b/>
          <w:color w:val="auto"/>
          <w:sz w:val="32"/>
          <w:szCs w:val="32"/>
          <w:highlight w:val="none"/>
          <w:lang w:val="en-US" w:eastAsia="zh-CN"/>
        </w:rPr>
        <w:t>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99.94</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44"/>
      <w:bookmarkEnd w:id="45"/>
      <w:bookmarkEnd w:id="46"/>
      <w:bookmarkEnd w:id="47"/>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一般公共服务（类）</w:t>
      </w:r>
      <w:r>
        <w:rPr>
          <w:rStyle w:val="15"/>
          <w:rFonts w:hint="eastAsia" w:ascii="仿宋" w:hAnsi="仿宋" w:eastAsia="仿宋"/>
          <w:bCs/>
          <w:color w:val="auto"/>
          <w:sz w:val="32"/>
          <w:szCs w:val="32"/>
          <w:highlight w:val="none"/>
          <w:lang w:eastAsia="zh-CN"/>
        </w:rPr>
        <w:t>人大事务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事业运行</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eastAsia="zh-CN"/>
        </w:rPr>
        <w:t>157.71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ascii="仿宋" w:hAnsi="仿宋" w:eastAsia="仿宋"/>
          <w:bCs/>
          <w:color w:val="auto"/>
          <w:sz w:val="32"/>
          <w:szCs w:val="32"/>
          <w:highlight w:val="none"/>
        </w:rPr>
        <w:t>2.</w:t>
      </w:r>
      <w:r>
        <w:rPr>
          <w:rStyle w:val="15"/>
          <w:rFonts w:hint="eastAsia" w:ascii="仿宋" w:hAnsi="仿宋" w:eastAsia="仿宋"/>
          <w:bCs/>
          <w:color w:val="auto"/>
          <w:sz w:val="32"/>
          <w:szCs w:val="32"/>
          <w:highlight w:val="none"/>
        </w:rPr>
        <w:t>一般公共服务（类）</w:t>
      </w:r>
      <w:r>
        <w:rPr>
          <w:rStyle w:val="15"/>
          <w:rFonts w:hint="eastAsia" w:ascii="仿宋" w:hAnsi="仿宋" w:eastAsia="仿宋"/>
          <w:bCs/>
          <w:color w:val="auto"/>
          <w:sz w:val="32"/>
          <w:szCs w:val="32"/>
          <w:highlight w:val="none"/>
          <w:lang w:eastAsia="zh-CN"/>
        </w:rPr>
        <w:t>纪检监察事务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事业运行</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eastAsia="zh-CN"/>
        </w:rPr>
        <w:t>0.47</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3.</w:t>
      </w:r>
      <w:r>
        <w:rPr>
          <w:rStyle w:val="15"/>
          <w:rFonts w:hint="eastAsia" w:ascii="仿宋" w:hAnsi="仿宋" w:eastAsia="仿宋"/>
          <w:bCs/>
          <w:color w:val="auto"/>
          <w:sz w:val="32"/>
          <w:szCs w:val="32"/>
          <w:highlight w:val="none"/>
          <w:lang w:eastAsia="zh-CN"/>
        </w:rPr>
        <w:t>一般公共服务</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市场监督管理事务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一般行政管理事务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eastAsia="zh-CN"/>
        </w:rPr>
        <w:t>2.3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ascii="仿宋" w:hAnsi="仿宋" w:eastAsia="仿宋"/>
          <w:bCs/>
          <w:color w:val="auto"/>
          <w:sz w:val="32"/>
          <w:szCs w:val="32"/>
          <w:highlight w:val="none"/>
        </w:rPr>
        <w:t>4.</w:t>
      </w:r>
      <w:r>
        <w:rPr>
          <w:rStyle w:val="15"/>
          <w:rFonts w:hint="eastAsia" w:ascii="仿宋" w:hAnsi="仿宋" w:eastAsia="仿宋"/>
          <w:bCs/>
          <w:color w:val="auto"/>
          <w:sz w:val="32"/>
          <w:szCs w:val="32"/>
          <w:highlight w:val="none"/>
          <w:lang w:eastAsia="zh-CN"/>
        </w:rPr>
        <w:t>一般公共服务类</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市场监督管理事务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市场主体管理</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9.64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96.38</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val="en-US" w:eastAsia="zh-CN"/>
        </w:rPr>
        <w:t>小于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val="en-US" w:eastAsia="zh-CN"/>
        </w:rPr>
        <w:t>的原因是2021年市场监管专项资金项目尚未实施完毕</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5</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一般公共服务类</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市场监督管理事务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事业运行</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263.15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pPr>
      <w:r>
        <w:rPr>
          <w:rStyle w:val="15"/>
          <w:rFonts w:hint="eastAsia" w:ascii="仿宋" w:hAnsi="仿宋" w:eastAsia="仿宋"/>
          <w:bCs/>
          <w:color w:val="auto"/>
          <w:sz w:val="32"/>
          <w:szCs w:val="32"/>
          <w:highlight w:val="none"/>
          <w:lang w:val="en-US" w:eastAsia="zh-CN"/>
        </w:rPr>
        <w:t>6</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一般公共服务类</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市场监督管理事务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其他市场监督管理事务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20.02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7</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事业单位离退休</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5.33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8</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机关事业单位基本养老保险缴费支出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26.48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9</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行政单位医疗</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0.18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事业单位医疗</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15.43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其他行政事业单位医疗支出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15.43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spacing w:line="600" w:lineRule="exact"/>
        <w:ind w:firstLine="642"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住房保障</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住房改革支出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住房公积金</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32.60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w:t>
      </w:r>
      <w:r>
        <w:rPr>
          <w:rStyle w:val="15"/>
          <w:rFonts w:hint="eastAsia" w:ascii="仿宋" w:hAnsi="仿宋" w:eastAsia="仿宋"/>
          <w:b w:val="0"/>
          <w:bCs/>
          <w:color w:val="auto"/>
          <w:sz w:val="32"/>
          <w:szCs w:val="32"/>
          <w:highlight w:val="none"/>
          <w:lang w:eastAsia="zh-CN"/>
        </w:rPr>
        <w:t>与</w:t>
      </w:r>
      <w:r>
        <w:rPr>
          <w:rStyle w:val="15"/>
          <w:rFonts w:hint="eastAsia" w:ascii="仿宋" w:hAnsi="仿宋" w:eastAsia="仿宋"/>
          <w:b w:val="0"/>
          <w:bCs/>
          <w:color w:val="auto"/>
          <w:sz w:val="32"/>
          <w:szCs w:val="32"/>
          <w:highlight w:val="none"/>
        </w:rPr>
        <w:t>预算数</w:t>
      </w:r>
      <w:r>
        <w:rPr>
          <w:rStyle w:val="15"/>
          <w:rFonts w:hint="eastAsia" w:ascii="仿宋" w:hAnsi="仿宋" w:eastAsia="仿宋"/>
          <w:b w:val="0"/>
          <w:bCs/>
          <w:color w:val="auto"/>
          <w:sz w:val="32"/>
          <w:szCs w:val="32"/>
          <w:highlight w:val="none"/>
          <w:lang w:eastAsia="zh-CN"/>
        </w:rPr>
        <w:t>持平</w:t>
      </w:r>
      <w:r>
        <w:rPr>
          <w:rStyle w:val="15"/>
          <w:rFonts w:hint="eastAsia" w:ascii="仿宋" w:hAnsi="仿宋" w:eastAsia="仿宋"/>
          <w:b w:val="0"/>
          <w:bCs/>
          <w:color w:val="auto"/>
          <w:sz w:val="32"/>
          <w:szCs w:val="32"/>
          <w:highlight w:val="none"/>
        </w:rPr>
        <w:t>。</w:t>
      </w:r>
    </w:p>
    <w:p>
      <w:pPr>
        <w:pStyle w:val="5"/>
      </w:pPr>
    </w:p>
    <w:p>
      <w:pPr>
        <w:tabs>
          <w:tab w:val="right" w:pos="8306"/>
        </w:tabs>
        <w:spacing w:line="600" w:lineRule="exact"/>
        <w:ind w:firstLine="640"/>
        <w:outlineLvl w:val="1"/>
        <w:rPr>
          <w:rStyle w:val="26"/>
          <w:color w:val="auto"/>
          <w:highlight w:val="none"/>
        </w:rPr>
      </w:pPr>
      <w:bookmarkStart w:id="48" w:name="_Toc15396608"/>
      <w:bookmarkStart w:id="49" w:name="_Toc17223"/>
      <w:bookmarkStart w:id="50"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8"/>
      <w:bookmarkEnd w:id="49"/>
      <w:bookmarkEnd w:id="50"/>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501.73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370.68</w:t>
      </w:r>
      <w:r>
        <w:rPr>
          <w:rFonts w:hint="eastAsia" w:ascii="仿宋" w:hAnsi="仿宋" w:eastAsia="仿宋"/>
          <w:color w:val="auto"/>
          <w:sz w:val="32"/>
          <w:szCs w:val="32"/>
          <w:highlight w:val="none"/>
        </w:rPr>
        <w:t>万元，主要包括：基本工资、津贴补贴、绩效工资、机关事业单位基本养老保险缴费、其他社会保障缴费、其他工资福利支出、生活补助、医疗费补助、奖励金、住房公积金、其他对个人和家庭的补助支出等。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131.05</w:t>
      </w:r>
      <w:r>
        <w:rPr>
          <w:rFonts w:hint="eastAsia" w:ascii="仿宋" w:hAnsi="仿宋" w:eastAsia="仿宋"/>
          <w:color w:val="auto"/>
          <w:sz w:val="32"/>
          <w:szCs w:val="32"/>
          <w:highlight w:val="none"/>
        </w:rPr>
        <w:t>万元，主要包括：办公费、印刷费、咨询费、手续费、水费、电费、邮电费、物业管理费、差旅费、维修（护）费、培训费、公务接待费、劳务费、工会经费、福利费、公务用车运行维护费、</w:t>
      </w:r>
      <w:r>
        <w:rPr>
          <w:rFonts w:hint="eastAsia" w:ascii="仿宋" w:hAnsi="仿宋" w:eastAsia="仿宋"/>
          <w:color w:val="auto"/>
          <w:sz w:val="32"/>
          <w:szCs w:val="32"/>
          <w:highlight w:val="none"/>
          <w:lang w:eastAsia="zh-CN"/>
        </w:rPr>
        <w:t>其他交通费用、</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eastAsia="zh-CN"/>
        </w:rPr>
        <w:t>专用材料费</w:t>
      </w:r>
      <w:r>
        <w:rPr>
          <w:rFonts w:hint="eastAsia" w:ascii="仿宋" w:hAnsi="仿宋" w:eastAsia="仿宋"/>
          <w:color w:val="auto"/>
          <w:sz w:val="32"/>
          <w:szCs w:val="32"/>
          <w:highlight w:val="none"/>
        </w:rPr>
        <w:t>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51" w:name="_Toc15377215"/>
      <w:bookmarkStart w:id="52" w:name="_Toc17676"/>
      <w:bookmarkStart w:id="53" w:name="_Toc15396609"/>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51"/>
      <w:bookmarkEnd w:id="52"/>
      <w:bookmarkEnd w:id="53"/>
    </w:p>
    <w:p>
      <w:pPr>
        <w:spacing w:line="600" w:lineRule="exact"/>
        <w:ind w:firstLine="640"/>
        <w:outlineLvl w:val="2"/>
        <w:rPr>
          <w:rFonts w:ascii="仿宋" w:hAnsi="仿宋" w:eastAsia="仿宋"/>
          <w:b/>
          <w:color w:val="auto"/>
          <w:sz w:val="32"/>
          <w:szCs w:val="32"/>
          <w:highlight w:val="none"/>
        </w:rPr>
      </w:pPr>
      <w:bookmarkStart w:id="54" w:name="_Toc15377216"/>
      <w:r>
        <w:rPr>
          <w:rFonts w:hint="eastAsia" w:ascii="仿宋" w:hAnsi="仿宋" w:eastAsia="仿宋"/>
          <w:b/>
          <w:color w:val="auto"/>
          <w:sz w:val="32"/>
          <w:szCs w:val="32"/>
          <w:highlight w:val="none"/>
        </w:rPr>
        <w:t>（一）“三公”经费财政拨款支出决算总体情况说明</w:t>
      </w:r>
      <w:bookmarkEnd w:id="5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18.30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4.39万元元，增长23.99%。</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55" w:name="_Toc15377217"/>
      <w:r>
        <w:rPr>
          <w:rFonts w:hint="eastAsia" w:ascii="仿宋" w:hAnsi="仿宋" w:eastAsia="仿宋"/>
          <w:b/>
          <w:color w:val="auto"/>
          <w:sz w:val="32"/>
          <w:szCs w:val="32"/>
          <w:highlight w:val="none"/>
        </w:rPr>
        <w:t>（二）“三公”经费财政拨款支出决算具体情况说明</w:t>
      </w:r>
      <w:bookmarkEnd w:id="5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18.19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99.40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5"/>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6432" behindDoc="0" locked="0" layoutInCell="1" allowOverlap="1">
            <wp:simplePos x="0" y="0"/>
            <wp:positionH relativeFrom="column">
              <wp:posOffset>-213995</wp:posOffset>
            </wp:positionH>
            <wp:positionV relativeFrom="paragraph">
              <wp:posOffset>132080</wp:posOffset>
            </wp:positionV>
            <wp:extent cx="5607685" cy="3529965"/>
            <wp:effectExtent l="4445" t="4445" r="7620" b="889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18.19</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4.39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24.13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。主要原因是新增计量检衡车支出。</w:t>
      </w:r>
    </w:p>
    <w:p>
      <w:pPr>
        <w:spacing w:line="600" w:lineRule="exact"/>
        <w:ind w:firstLine="640" w:firstLineChars="200"/>
        <w:rPr>
          <w:rFonts w:hint="default" w:ascii="仿宋_GB2312" w:eastAsia="仿宋_GB2312"/>
          <w:b/>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lang w:val="en-US" w:eastAsia="zh-CN"/>
        </w:rPr>
        <w:t>4辆。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18.19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检定设备</w:t>
      </w:r>
      <w:r>
        <w:rPr>
          <w:rFonts w:hint="eastAsia" w:ascii="仿宋_GB2312" w:eastAsia="仿宋_GB2312"/>
          <w:color w:val="auto"/>
          <w:sz w:val="32"/>
          <w:szCs w:val="32"/>
          <w:highlight w:val="none"/>
        </w:rPr>
        <w:t>所需的公务用车燃料费、维修费、过路过桥费、保险费等支出。</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0.11</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0.11</w:t>
      </w:r>
      <w:r>
        <w:rPr>
          <w:rFonts w:hint="eastAsia" w:ascii="仿宋_GB2312" w:eastAsia="仿宋_GB2312"/>
          <w:color w:val="auto"/>
          <w:sz w:val="32"/>
          <w:szCs w:val="32"/>
          <w:highlight w:val="none"/>
        </w:rPr>
        <w:t>万元，主要用于开展业务活动开支的用餐费。国内公务接待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0.11</w:t>
      </w:r>
      <w:r>
        <w:rPr>
          <w:rFonts w:hint="eastAsia" w:ascii="仿宋_GB2312" w:eastAsia="仿宋_GB2312"/>
          <w:color w:val="auto"/>
          <w:sz w:val="32"/>
          <w:szCs w:val="32"/>
          <w:highlight w:val="none"/>
        </w:rPr>
        <w:t>万元。</w:t>
      </w:r>
      <w:bookmarkStart w:id="56" w:name="_Toc15377218"/>
      <w:bookmarkStart w:id="57" w:name="_Toc15396610"/>
    </w:p>
    <w:p>
      <w:pPr>
        <w:spacing w:line="600" w:lineRule="exact"/>
        <w:ind w:firstLine="640"/>
        <w:outlineLvl w:val="1"/>
        <w:rPr>
          <w:rStyle w:val="26"/>
          <w:rFonts w:ascii="黑体" w:hAnsi="黑体" w:eastAsia="黑体"/>
          <w:color w:val="auto"/>
          <w:highlight w:val="none"/>
        </w:rPr>
      </w:pPr>
      <w:bookmarkStart w:id="58" w:name="_Toc21677"/>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6"/>
      <w:bookmarkEnd w:id="57"/>
      <w:bookmarkEnd w:id="5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59" w:name="_Toc19310"/>
      <w:bookmarkStart w:id="60" w:name="_Toc15396611"/>
      <w:bookmarkStart w:id="61" w:name="_Toc15377219"/>
      <w:r>
        <w:rPr>
          <w:rStyle w:val="26"/>
          <w:rFonts w:hint="eastAsia" w:ascii="黑体" w:hAnsi="黑体" w:eastAsia="黑体"/>
          <w:b w:val="0"/>
          <w:color w:val="auto"/>
          <w:highlight w:val="none"/>
        </w:rPr>
        <w:t>国有资本经营预算支出决算情况说明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62" w:name="_Toc15377221"/>
      <w:bookmarkStart w:id="63" w:name="_Toc15396612"/>
      <w:bookmarkStart w:id="64" w:name="_Toc2285"/>
      <w:r>
        <w:rPr>
          <w:rStyle w:val="26"/>
          <w:rFonts w:hint="eastAsia" w:ascii="黑体" w:hAnsi="黑体" w:eastAsia="黑体"/>
          <w:b w:val="0"/>
          <w:color w:val="auto"/>
          <w:highlight w:val="none"/>
        </w:rPr>
        <w:t>其他重要事项的情况说明</w:t>
      </w:r>
      <w:bookmarkEnd w:id="62"/>
      <w:bookmarkEnd w:id="63"/>
      <w:bookmarkEnd w:id="64"/>
    </w:p>
    <w:p>
      <w:pPr>
        <w:spacing w:line="600" w:lineRule="exact"/>
        <w:ind w:firstLine="642" w:firstLineChars="200"/>
        <w:outlineLvl w:val="2"/>
        <w:rPr>
          <w:rFonts w:ascii="仿宋" w:hAnsi="仿宋" w:eastAsia="仿宋"/>
          <w:color w:val="auto"/>
          <w:sz w:val="32"/>
          <w:szCs w:val="32"/>
          <w:highlight w:val="none"/>
        </w:rPr>
      </w:pPr>
      <w:bookmarkStart w:id="65" w:name="_Toc15377222"/>
      <w:r>
        <w:rPr>
          <w:rFonts w:hint="eastAsia" w:ascii="仿宋" w:hAnsi="仿宋" w:eastAsia="仿宋"/>
          <w:b/>
          <w:color w:val="auto"/>
          <w:sz w:val="32"/>
          <w:szCs w:val="32"/>
          <w:highlight w:val="none"/>
        </w:rPr>
        <w:t>（一）机关运行经费支出情况</w:t>
      </w:r>
      <w:bookmarkEnd w:id="65"/>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巴中市计量检定测试所无</w:t>
      </w:r>
      <w:r>
        <w:rPr>
          <w:rFonts w:hint="eastAsia" w:ascii="仿宋_GB2312" w:eastAsia="仿宋_GB2312"/>
          <w:color w:val="auto"/>
          <w:sz w:val="32"/>
          <w:szCs w:val="32"/>
          <w:highlight w:val="none"/>
        </w:rPr>
        <w:t>机关运行经费</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6" w:name="_Toc15377223"/>
      <w:r>
        <w:rPr>
          <w:rFonts w:hint="eastAsia" w:ascii="仿宋" w:hAnsi="仿宋" w:eastAsia="仿宋"/>
          <w:b/>
          <w:color w:val="auto"/>
          <w:sz w:val="32"/>
          <w:szCs w:val="32"/>
          <w:highlight w:val="none"/>
        </w:rPr>
        <w:t>（二）政府采购支出情况</w:t>
      </w:r>
      <w:bookmarkEnd w:id="66"/>
    </w:p>
    <w:p>
      <w:pPr>
        <w:spacing w:line="600" w:lineRule="exact"/>
        <w:ind w:firstLine="640" w:firstLineChars="200"/>
        <w:rPr>
          <w:rFonts w:ascii="仿宋_GB2312" w:eastAsia="仿宋_GB2312"/>
          <w:color w:val="auto"/>
          <w:sz w:val="32"/>
          <w:szCs w:val="32"/>
          <w:highlight w:val="none"/>
        </w:rPr>
      </w:pPr>
      <w:bookmarkStart w:id="67" w:name="_Toc15377224"/>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年，巴中市计量检定测试所政府采购支出总额</w:t>
      </w:r>
      <w:r>
        <w:rPr>
          <w:rFonts w:hint="eastAsia" w:ascii="仿宋_GB2312" w:eastAsia="仿宋_GB2312"/>
          <w:color w:val="auto"/>
          <w:sz w:val="32"/>
          <w:szCs w:val="32"/>
          <w:highlight w:val="none"/>
          <w:lang w:val="en-US" w:eastAsia="zh-CN"/>
        </w:rPr>
        <w:t>20.66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20.66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主要用于</w:t>
      </w:r>
      <w:r>
        <w:rPr>
          <w:rFonts w:hint="eastAsia" w:ascii="仿宋_GB2312" w:eastAsia="仿宋_GB2312"/>
          <w:color w:val="auto"/>
          <w:sz w:val="32"/>
          <w:szCs w:val="32"/>
          <w:highlight w:val="none"/>
          <w:lang w:eastAsia="zh-CN"/>
        </w:rPr>
        <w:t>购买测速系统检定装置车</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20.66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100.00</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20.66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100.00</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（三）国有资产占有使用情况</w:t>
      </w:r>
      <w:bookmarkEnd w:id="6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巴中市计量检定测试所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特种专业技术用车4辆、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日常检定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Times New Roman" w:eastAsia="仿宋_GB2312" w:cs="Times New Roman"/>
          <w:color w:val="auto"/>
          <w:sz w:val="32"/>
          <w:szCs w:val="32"/>
          <w:highlight w:val="none"/>
          <w:lang w:val="en-US" w:eastAsia="zh-CN"/>
        </w:rPr>
        <w:t>预算绩效管理要求，本单位在2022年度预算编制阶段，组织对计量专项测试经费项目等21个项目开展了预算事前绩效评估，对21个项目编制了绩效目标，预算执行过程中，选取</w:t>
      </w:r>
      <w:r>
        <w:rPr>
          <w:rFonts w:hint="eastAsia" w:ascii="仿宋_GB2312"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lang w:val="en-US" w:eastAsia="zh-CN"/>
        </w:rPr>
        <w:t>个项目开展绩效监控，年终执行完毕后，暂</w:t>
      </w:r>
      <w:r>
        <w:rPr>
          <w:rFonts w:hint="eastAsia" w:ascii="仿宋_GB2312" w:hAnsi="仿宋_GB2312" w:eastAsia="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开展绩效自评</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2022年特定目标类部门预算项目绩效目标自评表见附件（第四部分）</w:t>
      </w:r>
      <w:r>
        <w:rPr>
          <w:rFonts w:hint="eastAsia" w:ascii="仿宋_GB2312" w:hAnsi="仿宋_GB2312" w:eastAsia="仿宋_GB2312" w:cs="仿宋_GB2312"/>
          <w:color w:val="auto"/>
          <w:sz w:val="32"/>
          <w:szCs w:val="32"/>
          <w:highlight w:val="none"/>
        </w:rPr>
        <w:t>。</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68" w:name="_Toc29468"/>
      <w:bookmarkStart w:id="69" w:name="_Toc15377225"/>
      <w:bookmarkStart w:id="70"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68"/>
      <w:bookmarkEnd w:id="69"/>
      <w:bookmarkEnd w:id="7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一般公共服务（类）市场监督管理事务（款）事业运行（项）:指反映事业单位的基本支出，不包括行政单位（包括实行公务员管理的事业单位）后勤服务中心、医务室等附属事业单位。</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一般公共服务（类）市场监督管理事务（款）其他市场监督管理事务（项）:指反映用于除上述项目以外其他市场监督管理事务方面的支出。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社会保障和就业（类）行政事业单位养老支出（款）</w:t>
      </w:r>
      <w:r>
        <w:rPr>
          <w:rFonts w:hint="eastAsia" w:ascii="仿宋_GB2312" w:eastAsia="仿宋_GB2312"/>
          <w:color w:val="auto"/>
          <w:sz w:val="32"/>
          <w:szCs w:val="32"/>
          <w:highlight w:val="none"/>
          <w:lang w:val="en-US" w:eastAsia="zh-CN"/>
        </w:rPr>
        <w:t>行政</w:t>
      </w:r>
      <w:r>
        <w:rPr>
          <w:rFonts w:hint="eastAsia" w:ascii="仿宋_GB2312" w:eastAsia="仿宋_GB2312"/>
          <w:color w:val="auto"/>
          <w:sz w:val="32"/>
          <w:szCs w:val="32"/>
          <w:highlight w:val="none"/>
        </w:rPr>
        <w:t>单位离退休（项）:指反映</w:t>
      </w:r>
      <w:r>
        <w:rPr>
          <w:rFonts w:hint="eastAsia" w:ascii="仿宋_GB2312" w:eastAsia="仿宋_GB2312"/>
          <w:color w:val="auto"/>
          <w:sz w:val="32"/>
          <w:szCs w:val="32"/>
          <w:highlight w:val="none"/>
          <w:lang w:val="en-US" w:eastAsia="zh-CN"/>
        </w:rPr>
        <w:t>行政</w:t>
      </w:r>
      <w:r>
        <w:rPr>
          <w:rFonts w:hint="eastAsia" w:ascii="仿宋_GB2312" w:eastAsia="仿宋_GB2312"/>
          <w:color w:val="auto"/>
          <w:sz w:val="32"/>
          <w:szCs w:val="32"/>
          <w:highlight w:val="none"/>
        </w:rPr>
        <w:t>单位养老方面离的支出。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社会保障和就业（类）行政事业单位养老支出（款）事业单位离退休（项）:指反映事业单位养老方面离的支出。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社会保障和就业（类）行政事业单位养老支出（款）机关事业单位基本养老保险缴费支出（项）:指反映机关事业单位实施养老保险制度由单位缴纳的基本养老保险费支出。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社会保障和就业（类）行政事业单位养老支出（款）其他行政事业单位养老支出（项）:指反映机关事业单位实施养老保险制度由单位缴纳的基本养老保险费支出。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卫生健康（类）行政事业单位医疗（款）事业单位医疗（项）:指反映财政部门集中安排的事业单位基本医疗保险缴费经费，未参加医疗保险的事业单位的公费医疗经费，按国家规定享受离休人员待遇人员的医疗经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住房保障（类）住房改革支出（款）住房公积金（项）:指反映行政事业单位按人力资源和社会保障部、财政部规定的基本工资和津补贴以及规定比例为职工缴纳的住房公积金。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ind w:firstLine="640" w:firstLineChars="200"/>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color w:val="auto"/>
          <w:highlight w:val="none"/>
        </w:rPr>
      </w:pPr>
      <w:bookmarkStart w:id="71" w:name="_Toc15377226"/>
      <w:r>
        <w:rPr>
          <w:rFonts w:ascii="宋体"/>
          <w:b/>
          <w:color w:val="auto"/>
          <w:sz w:val="44"/>
          <w:szCs w:val="44"/>
          <w:highlight w:val="none"/>
        </w:rPr>
        <w:br w:type="page"/>
      </w:r>
      <w:bookmarkStart w:id="72" w:name="_Toc15396614"/>
      <w:bookmarkStart w:id="73" w:name="_Toc29883"/>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72"/>
      <w:bookmarkEnd w:id="73"/>
    </w:p>
    <w:tbl>
      <w:tblPr>
        <w:tblStyle w:val="12"/>
        <w:tblW w:w="8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672"/>
        <w:gridCol w:w="733"/>
        <w:gridCol w:w="1803"/>
        <w:gridCol w:w="432"/>
        <w:gridCol w:w="436"/>
        <w:gridCol w:w="429"/>
        <w:gridCol w:w="818"/>
        <w:gridCol w:w="495"/>
        <w:gridCol w:w="406"/>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6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3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51190022T000004785658-计量检衡车运行经费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巴中市市场监督管理局部门</w:t>
            </w:r>
          </w:p>
        </w:tc>
        <w:tc>
          <w:tcPr>
            <w:tcW w:w="81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巴中市计量检定测试所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完成全市范围高速公路</w:t>
            </w:r>
            <w:r>
              <w:rPr>
                <w:rFonts w:hint="eastAsia" w:ascii="宋体" w:hAnsi="宋体" w:cs="宋体"/>
                <w:i w:val="0"/>
                <w:iCs w:val="0"/>
                <w:color w:val="000000"/>
                <w:kern w:val="0"/>
                <w:sz w:val="18"/>
                <w:szCs w:val="18"/>
                <w:u w:val="none"/>
                <w:lang w:val="en-US" w:eastAsia="zh-CN" w:bidi="ar"/>
              </w:rPr>
              <w:t>动态车辆自动</w:t>
            </w:r>
            <w:r>
              <w:rPr>
                <w:rFonts w:ascii="宋体" w:hAnsi="宋体" w:eastAsia="宋体" w:cs="宋体"/>
                <w:i w:val="0"/>
                <w:iCs w:val="0"/>
                <w:color w:val="000000"/>
                <w:kern w:val="0"/>
                <w:sz w:val="18"/>
                <w:szCs w:val="18"/>
                <w:u w:val="none"/>
                <w:lang w:val="en-US" w:eastAsia="zh-CN" w:bidi="ar"/>
              </w:rPr>
              <w:t>衡</w:t>
            </w:r>
            <w:r>
              <w:rPr>
                <w:rFonts w:hint="eastAsia" w:ascii="宋体" w:hAnsi="宋体" w:cs="宋体"/>
                <w:i w:val="0"/>
                <w:iCs w:val="0"/>
                <w:color w:val="000000"/>
                <w:kern w:val="0"/>
                <w:sz w:val="18"/>
                <w:szCs w:val="18"/>
                <w:u w:val="none"/>
                <w:lang w:val="en-US" w:eastAsia="zh-CN" w:bidi="ar"/>
              </w:rPr>
              <w:t>和企事业单位</w:t>
            </w:r>
            <w:r>
              <w:rPr>
                <w:rFonts w:ascii="宋体" w:hAnsi="宋体" w:eastAsia="宋体" w:cs="宋体"/>
                <w:i w:val="0"/>
                <w:iCs w:val="0"/>
                <w:color w:val="000000"/>
                <w:kern w:val="0"/>
                <w:sz w:val="18"/>
                <w:szCs w:val="18"/>
                <w:u w:val="none"/>
                <w:lang w:val="en-US" w:eastAsia="zh-CN" w:bidi="ar"/>
              </w:rPr>
              <w:t>的</w:t>
            </w:r>
            <w:r>
              <w:rPr>
                <w:rFonts w:hint="eastAsia" w:ascii="宋体" w:hAnsi="宋体" w:cs="宋体"/>
                <w:i w:val="0"/>
                <w:iCs w:val="0"/>
                <w:color w:val="000000"/>
                <w:kern w:val="0"/>
                <w:sz w:val="18"/>
                <w:szCs w:val="18"/>
                <w:u w:val="none"/>
                <w:lang w:val="en-US" w:eastAsia="zh-CN" w:bidi="ar"/>
              </w:rPr>
              <w:t>电子汽车</w:t>
            </w:r>
            <w:r>
              <w:rPr>
                <w:rFonts w:ascii="宋体" w:hAnsi="宋体" w:eastAsia="宋体" w:cs="宋体"/>
                <w:i w:val="0"/>
                <w:iCs w:val="0"/>
                <w:color w:val="000000"/>
                <w:kern w:val="0"/>
                <w:sz w:val="18"/>
                <w:szCs w:val="18"/>
                <w:u w:val="none"/>
                <w:lang w:val="en-US" w:eastAsia="zh-CN" w:bidi="ar"/>
              </w:rPr>
              <w:t>衡</w:t>
            </w:r>
            <w:r>
              <w:rPr>
                <w:rFonts w:hint="eastAsia" w:ascii="宋体" w:hAnsi="宋体" w:cs="宋体"/>
                <w:i w:val="0"/>
                <w:iCs w:val="0"/>
                <w:color w:val="000000"/>
                <w:kern w:val="0"/>
                <w:sz w:val="18"/>
                <w:szCs w:val="18"/>
                <w:u w:val="none"/>
                <w:lang w:val="en-US" w:eastAsia="zh-CN" w:bidi="ar"/>
              </w:rPr>
              <w:t>的</w:t>
            </w:r>
            <w:r>
              <w:rPr>
                <w:rFonts w:ascii="宋体" w:hAnsi="宋体" w:eastAsia="宋体" w:cs="宋体"/>
                <w:i w:val="0"/>
                <w:iCs w:val="0"/>
                <w:color w:val="000000"/>
                <w:kern w:val="0"/>
                <w:sz w:val="18"/>
                <w:szCs w:val="18"/>
                <w:u w:val="none"/>
                <w:lang w:val="en-US" w:eastAsia="zh-CN" w:bidi="ar"/>
              </w:rPr>
              <w:t>强制检定</w:t>
            </w:r>
            <w:r>
              <w:rPr>
                <w:rFonts w:hint="eastAsia" w:ascii="宋体" w:hAnsi="宋体" w:cs="宋体"/>
                <w:i w:val="0"/>
                <w:iCs w:val="0"/>
                <w:color w:val="000000"/>
                <w:kern w:val="0"/>
                <w:sz w:val="18"/>
                <w:szCs w:val="18"/>
                <w:u w:val="none"/>
                <w:lang w:val="en-US" w:eastAsia="zh-CN" w:bidi="ar"/>
              </w:rPr>
              <w:t>以及协助12345</w:t>
            </w:r>
            <w:r>
              <w:rPr>
                <w:rFonts w:ascii="宋体" w:hAnsi="宋体" w:eastAsia="宋体" w:cs="宋体"/>
                <w:i w:val="0"/>
                <w:iCs w:val="0"/>
                <w:color w:val="000000"/>
                <w:kern w:val="0"/>
                <w:sz w:val="18"/>
                <w:szCs w:val="18"/>
                <w:u w:val="none"/>
                <w:lang w:val="en-US" w:eastAsia="zh-CN" w:bidi="ar"/>
              </w:rPr>
              <w:t xml:space="preserve">投诉处理任务 </w:t>
            </w:r>
          </w:p>
        </w:tc>
        <w:tc>
          <w:tcPr>
            <w:tcW w:w="35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3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cs="宋体"/>
                <w:b w:val="0"/>
                <w:bCs w:val="0"/>
                <w:i w:val="0"/>
                <w:iCs w:val="0"/>
                <w:color w:val="000000"/>
                <w:sz w:val="18"/>
                <w:szCs w:val="18"/>
                <w:u w:val="none"/>
                <w:lang w:eastAsia="zh-CN"/>
              </w:rPr>
              <w:t>全能有效的推动</w:t>
            </w:r>
            <w:r>
              <w:rPr>
                <w:rFonts w:ascii="宋体" w:hAnsi="宋体" w:eastAsia="宋体" w:cs="宋体"/>
                <w:i w:val="0"/>
                <w:iCs w:val="0"/>
                <w:color w:val="000000"/>
                <w:kern w:val="0"/>
                <w:sz w:val="18"/>
                <w:szCs w:val="18"/>
                <w:u w:val="none"/>
                <w:lang w:val="en-US" w:eastAsia="zh-CN" w:bidi="ar"/>
              </w:rPr>
              <w:t>高速公路</w:t>
            </w:r>
            <w:r>
              <w:rPr>
                <w:rFonts w:hint="eastAsia" w:ascii="宋体" w:hAnsi="宋体" w:cs="宋体"/>
                <w:i w:val="0"/>
                <w:iCs w:val="0"/>
                <w:color w:val="000000"/>
                <w:kern w:val="0"/>
                <w:sz w:val="18"/>
                <w:szCs w:val="18"/>
                <w:u w:val="none"/>
                <w:lang w:val="en-US" w:eastAsia="zh-CN" w:bidi="ar"/>
              </w:rPr>
              <w:t>动态车辆自动</w:t>
            </w:r>
            <w:r>
              <w:rPr>
                <w:rFonts w:ascii="宋体" w:hAnsi="宋体" w:eastAsia="宋体" w:cs="宋体"/>
                <w:i w:val="0"/>
                <w:iCs w:val="0"/>
                <w:color w:val="000000"/>
                <w:kern w:val="0"/>
                <w:sz w:val="18"/>
                <w:szCs w:val="18"/>
                <w:u w:val="none"/>
                <w:lang w:val="en-US" w:eastAsia="zh-CN" w:bidi="ar"/>
              </w:rPr>
              <w:t>衡</w:t>
            </w:r>
            <w:r>
              <w:rPr>
                <w:rFonts w:hint="eastAsia" w:ascii="宋体" w:hAnsi="宋体" w:cs="宋体"/>
                <w:i w:val="0"/>
                <w:iCs w:val="0"/>
                <w:color w:val="000000"/>
                <w:kern w:val="0"/>
                <w:sz w:val="18"/>
                <w:szCs w:val="18"/>
                <w:u w:val="none"/>
                <w:lang w:val="en-US" w:eastAsia="zh-CN" w:bidi="ar"/>
              </w:rPr>
              <w:t>和企事业单位</w:t>
            </w:r>
            <w:r>
              <w:rPr>
                <w:rFonts w:ascii="宋体" w:hAnsi="宋体" w:eastAsia="宋体" w:cs="宋体"/>
                <w:i w:val="0"/>
                <w:iCs w:val="0"/>
                <w:color w:val="000000"/>
                <w:kern w:val="0"/>
                <w:sz w:val="18"/>
                <w:szCs w:val="18"/>
                <w:u w:val="none"/>
                <w:lang w:val="en-US" w:eastAsia="zh-CN" w:bidi="ar"/>
              </w:rPr>
              <w:t>的</w:t>
            </w:r>
            <w:r>
              <w:rPr>
                <w:rFonts w:hint="eastAsia" w:ascii="宋体" w:hAnsi="宋体" w:cs="宋体"/>
                <w:i w:val="0"/>
                <w:iCs w:val="0"/>
                <w:color w:val="000000"/>
                <w:kern w:val="0"/>
                <w:sz w:val="18"/>
                <w:szCs w:val="18"/>
                <w:u w:val="none"/>
                <w:lang w:val="en-US" w:eastAsia="zh-CN" w:bidi="ar"/>
              </w:rPr>
              <w:t>电子汽车</w:t>
            </w:r>
            <w:r>
              <w:rPr>
                <w:rFonts w:ascii="宋体" w:hAnsi="宋体" w:eastAsia="宋体" w:cs="宋体"/>
                <w:i w:val="0"/>
                <w:iCs w:val="0"/>
                <w:color w:val="000000"/>
                <w:kern w:val="0"/>
                <w:sz w:val="18"/>
                <w:szCs w:val="18"/>
                <w:u w:val="none"/>
                <w:lang w:val="en-US" w:eastAsia="zh-CN" w:bidi="ar"/>
              </w:rPr>
              <w:t>衡</w:t>
            </w:r>
            <w:r>
              <w:rPr>
                <w:rFonts w:ascii="宋体" w:hAnsi="宋体" w:eastAsia="宋体" w:cs="宋体"/>
                <w:b w:val="0"/>
                <w:bCs w:val="0"/>
                <w:i w:val="0"/>
                <w:iCs w:val="0"/>
                <w:color w:val="000000"/>
                <w:kern w:val="0"/>
                <w:sz w:val="18"/>
                <w:szCs w:val="18"/>
                <w:u w:val="none"/>
                <w:lang w:val="en-US" w:eastAsia="zh-CN" w:bidi="ar"/>
              </w:rPr>
              <w:t xml:space="preserve"> </w:t>
            </w:r>
            <w:r>
              <w:rPr>
                <w:rFonts w:hint="eastAsia" w:ascii="宋体" w:hAnsi="宋体" w:cs="宋体"/>
                <w:b w:val="0"/>
                <w:bCs w:val="0"/>
                <w:i w:val="0"/>
                <w:iCs w:val="0"/>
                <w:color w:val="000000"/>
                <w:kern w:val="0"/>
                <w:sz w:val="18"/>
                <w:szCs w:val="18"/>
                <w:u w:val="none"/>
                <w:lang w:val="en-US" w:eastAsia="zh-CN" w:bidi="ar"/>
              </w:rPr>
              <w:t>，</w:t>
            </w:r>
            <w:r>
              <w:rPr>
                <w:rFonts w:ascii="宋体" w:hAnsi="宋体" w:eastAsia="宋体" w:cs="宋体"/>
                <w:b w:val="0"/>
                <w:bCs w:val="0"/>
                <w:i w:val="0"/>
                <w:color w:val="000000"/>
                <w:kern w:val="0"/>
                <w:sz w:val="15"/>
                <w:szCs w:val="15"/>
                <w:u w:val="none"/>
                <w:lang w:val="en-US" w:eastAsia="zh-CN" w:bidi="ar-SA"/>
              </w:rPr>
              <w:t>有力促进了经济发展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71.70%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71.70%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1、检定量高速汽车衡:140台次;路政汽车衡:28台次;社会汽车衡:200台次;,2、投诉量20余台</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符合JJG907-2006《动态公路车辆自动衡器》、JJG539-2016《数字指示秤》要求</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使计重汽车衡符合检定有效期,在投诉处诉时限内完成</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打印报告等办公费2万元，砝码装卸等劳务费3万元，车辆年检，过路费，燃油费，保险费，砝码质量量值溯源等商品和服务支出7万元,人员差旅费8万元</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根据相关文件精神，自2017年4月1日起，停止征收计量强制检定收费</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确保高速公路限重和路政治超汽车衡使用的量值准确，保障道路交通安全</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维护社会公平,提升诚信社会品质</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持续满足计重汽车衡量值溯源和计量投诉处理需求</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有效减少计量纠纷，得到交通从业者认可</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9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0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rPr>
            </w:pPr>
            <w:r>
              <w:rPr>
                <w:rFonts w:hint="eastAsia" w:ascii="微软雅黑" w:hAnsi="微软雅黑" w:eastAsia="微软雅黑" w:cs="微软雅黑"/>
                <w:i/>
                <w:iCs/>
                <w:color w:val="000000"/>
                <w:kern w:val="0"/>
                <w:sz w:val="16"/>
                <w:szCs w:val="16"/>
                <w:u w:val="none"/>
                <w:lang w:val="en-US" w:eastAsia="zh-CN" w:bidi="ar"/>
              </w:rPr>
              <w:t>自评得分100分，推进</w:t>
            </w:r>
            <w:r>
              <w:rPr>
                <w:rFonts w:ascii="宋体" w:hAnsi="宋体" w:eastAsia="宋体" w:cs="宋体"/>
                <w:i w:val="0"/>
                <w:iCs w:val="0"/>
                <w:color w:val="000000"/>
                <w:kern w:val="0"/>
                <w:sz w:val="18"/>
                <w:szCs w:val="18"/>
                <w:u w:val="none"/>
                <w:lang w:val="en-US" w:eastAsia="zh-CN" w:bidi="ar"/>
              </w:rPr>
              <w:t>全市范围(含高速公路)大中型汽车计重衡器的强制检定和投诉处理任务</w:t>
            </w:r>
            <w:r>
              <w:rPr>
                <w:rFonts w:hint="eastAsia" w:ascii="微软雅黑" w:hAnsi="微软雅黑" w:eastAsia="微软雅黑" w:cs="微软雅黑"/>
                <w:i/>
                <w:iCs/>
                <w:color w:val="000000"/>
                <w:kern w:val="0"/>
                <w:sz w:val="16"/>
                <w:szCs w:val="16"/>
                <w:u w:val="none"/>
                <w:lang w:val="en-US" w:eastAsia="zh-CN" w:bidi="ar"/>
              </w:rPr>
              <w:t>，保障全市计量工作的进行。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0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0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项目负责人：肖伟</w:t>
            </w:r>
          </w:p>
        </w:tc>
        <w:tc>
          <w:tcPr>
            <w:tcW w:w="43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财务负责人：魏琳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3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tbl>
      <w:tblPr>
        <w:tblStyle w:val="12"/>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661"/>
        <w:gridCol w:w="721"/>
        <w:gridCol w:w="1793"/>
        <w:gridCol w:w="422"/>
        <w:gridCol w:w="430"/>
        <w:gridCol w:w="422"/>
        <w:gridCol w:w="889"/>
        <w:gridCol w:w="490"/>
        <w:gridCol w:w="490"/>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51190022T000004785379-计量专项测试经费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7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巴中市市场监督管理局部门</w:t>
            </w:r>
          </w:p>
        </w:tc>
        <w:tc>
          <w:tcPr>
            <w:tcW w:w="8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巴中市计量检定测试所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7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4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7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构建设更加有竞争力，有力促进地方产品质量基础更加夯实，质量安全保障更加有效，质量竞争力明显提升，产业、产品、工程、环境、服务显著提升，质量对经济的贡献度明显提高。强检用计量标准建立3项，已建社会公用计量标准无停用，不断加强机构发展建设，保障我所覆盖项目的强检工作正常开展。</w:t>
            </w:r>
          </w:p>
        </w:tc>
        <w:tc>
          <w:tcPr>
            <w:tcW w:w="34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保障我所工作正常开展。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46.00</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46.00</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1、国家强检目录覆盖率≥65%，2、已建社会公用计量标准停用个数，3、证书报告错误率≤0.5%</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1、计量标准设备合格率90%，2、检测人员年均培训率≥60%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1、新建标准时间/个≤1.5年，2、强检目录覆盖率65%</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劳务费70万,2、办公费,3、计量宣传费用5万,4、计量检测辅助耗材5万,5、计量标准物质购置10万,6、计量标准设备维修维护20万,7、标准设零配件、易损件20万,8、技术服务费12万,9、计量标准设备送检费10万,10、其他商品服务及支出57.5万元</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1、社会影响力有所提升2、社会需求满足率≥75%</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1、设备使用时间≥10年，2、软件使用时间≥10年</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检测人员满意度≥85%，群众满意度≥90%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9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8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w:t>
            </w:r>
            <w:r>
              <w:rPr>
                <w:rFonts w:ascii="宋体" w:hAnsi="宋体" w:eastAsia="宋体" w:cs="宋体"/>
                <w:i w:val="0"/>
                <w:iCs w:val="0"/>
                <w:color w:val="000000"/>
                <w:kern w:val="0"/>
                <w:sz w:val="18"/>
                <w:szCs w:val="18"/>
                <w:u w:val="none"/>
                <w:lang w:val="en-US" w:eastAsia="zh-CN" w:bidi="ar"/>
              </w:rPr>
              <w:t>保障我所工作正常开展。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8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8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项目负责人：肖伟</w:t>
            </w:r>
          </w:p>
        </w:tc>
        <w:tc>
          <w:tcPr>
            <w:tcW w:w="42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财务负责人：魏琳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5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tbl>
      <w:tblPr>
        <w:tblStyle w:val="12"/>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714"/>
        <w:gridCol w:w="797"/>
        <w:gridCol w:w="956"/>
        <w:gridCol w:w="437"/>
        <w:gridCol w:w="507"/>
        <w:gridCol w:w="437"/>
        <w:gridCol w:w="832"/>
        <w:gridCol w:w="576"/>
        <w:gridCol w:w="576"/>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51190022R000004692824-工资性支出（事业）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1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巴中市市场监督管理局部门</w:t>
            </w:r>
          </w:p>
        </w:tc>
        <w:tc>
          <w:tcPr>
            <w:tcW w:w="83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巴中市计量检定测试所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1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color w:val="000000"/>
                <w:kern w:val="0"/>
                <w:sz w:val="15"/>
                <w:szCs w:val="15"/>
                <w:u w:val="none"/>
                <w:lang w:val="en-US" w:eastAsia="zh-CN" w:bidi="ar-SA"/>
              </w:rPr>
              <w:t>全额兑现职工工资。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156.76</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177.63</w:t>
            </w: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174.57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156.76</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177.63</w:t>
            </w: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174.57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8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自评得分100分，保障在职职工的工资按时按月足额发放，工作目标顺利推进，全面完成此项工作任务。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8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8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5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项目负责人：肖伟</w:t>
            </w:r>
          </w:p>
        </w:tc>
        <w:tc>
          <w:tcPr>
            <w:tcW w:w="49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财务负责人：魏琳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tbl>
      <w:tblPr>
        <w:tblStyle w:val="12"/>
        <w:tblpPr w:leftFromText="180" w:rightFromText="180" w:vertAnchor="text" w:horzAnchor="page" w:tblpX="1800" w:tblpY="542"/>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672"/>
        <w:gridCol w:w="700"/>
        <w:gridCol w:w="1501"/>
        <w:gridCol w:w="428"/>
        <w:gridCol w:w="499"/>
        <w:gridCol w:w="426"/>
        <w:gridCol w:w="815"/>
        <w:gridCol w:w="576"/>
        <w:gridCol w:w="576"/>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51190021Y000000056098-公用经费（事业）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巴中市市场监督管理局部门</w:t>
            </w:r>
          </w:p>
        </w:tc>
        <w:tc>
          <w:tcPr>
            <w:tcW w:w="81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8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巴中市计量检定测试所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6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6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val="en-US" w:eastAsia="zh-CN"/>
              </w:rPr>
            </w:pPr>
            <w:r>
              <w:rPr>
                <w:rFonts w:ascii="宋体" w:hAnsi="宋体" w:eastAsia="宋体" w:cs="宋体"/>
                <w:i w:val="0"/>
                <w:color w:val="000000"/>
                <w:kern w:val="0"/>
                <w:sz w:val="15"/>
                <w:szCs w:val="15"/>
                <w:u w:val="none"/>
                <w:lang w:val="en-US" w:eastAsia="zh-CN" w:bidi="ar-SA"/>
              </w:rPr>
              <w:t>保障单位日常运转</w:t>
            </w:r>
            <w:r>
              <w:rPr>
                <w:rFonts w:hint="eastAsia" w:ascii="宋体" w:hAnsi="宋体" w:eastAsia="宋体" w:cs="宋体"/>
                <w:i w:val="0"/>
                <w:color w:val="000000"/>
                <w:kern w:val="0"/>
                <w:sz w:val="15"/>
                <w:szCs w:val="15"/>
                <w:u w:val="none"/>
                <w:lang w:val="en-US" w:eastAsia="zh-CN" w:bidi="ar-SA"/>
              </w:rPr>
              <w:t>,严格按照预算执行。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46.29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46.06</w:t>
            </w: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46.29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46.06</w:t>
            </w: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8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rPr>
            </w:pPr>
            <w:r>
              <w:rPr>
                <w:rFonts w:hint="eastAsia" w:ascii="微软雅黑" w:hAnsi="微软雅黑" w:eastAsia="微软雅黑" w:cs="微软雅黑"/>
                <w:i/>
                <w:iCs/>
                <w:color w:val="000000"/>
                <w:kern w:val="0"/>
                <w:sz w:val="16"/>
                <w:szCs w:val="16"/>
                <w:u w:val="none"/>
                <w:lang w:val="en-US" w:eastAsia="zh-CN" w:bidi="ar"/>
              </w:rPr>
              <w:t>自评得分100分，保障单位的日常运转，工作目标顺利推进，全面完成此项工作任务。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8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8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项目负责人：肖伟</w:t>
            </w:r>
          </w:p>
        </w:tc>
        <w:tc>
          <w:tcPr>
            <w:tcW w:w="45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财务负责人：魏琳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bookmarkStart w:id="74" w:name="_Toc15396618"/>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br w:type="page"/>
      </w:r>
    </w:p>
    <w:p>
      <w:pPr>
        <w:pStyle w:val="5"/>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75" w:name="_Toc23972"/>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71"/>
      <w:bookmarkEnd w:id="74"/>
      <w:bookmarkEnd w:id="75"/>
      <w:bookmarkStart w:id="76" w:name="_Toc15396619"/>
    </w:p>
    <w:p>
      <w:pPr>
        <w:pStyle w:val="3"/>
        <w:rPr>
          <w:rFonts w:ascii="仿宋" w:hAnsi="仿宋" w:eastAsia="仿宋"/>
          <w:color w:val="auto"/>
          <w:highlight w:val="none"/>
        </w:rPr>
      </w:pPr>
      <w:bookmarkStart w:id="77" w:name="_Toc16284"/>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76"/>
      <w:bookmarkEnd w:id="77"/>
    </w:p>
    <w:p>
      <w:pPr>
        <w:pStyle w:val="3"/>
        <w:rPr>
          <w:rFonts w:ascii="仿宋" w:hAnsi="仿宋" w:eastAsia="仿宋"/>
          <w:color w:val="auto"/>
          <w:highlight w:val="none"/>
        </w:rPr>
      </w:pPr>
      <w:bookmarkStart w:id="78" w:name="_Toc13562"/>
      <w:bookmarkStart w:id="79"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78"/>
      <w:bookmarkEnd w:id="79"/>
    </w:p>
    <w:p>
      <w:pPr>
        <w:pStyle w:val="3"/>
        <w:rPr>
          <w:rFonts w:ascii="仿宋" w:hAnsi="仿宋" w:eastAsia="仿宋"/>
          <w:color w:val="auto"/>
          <w:highlight w:val="none"/>
        </w:rPr>
      </w:pPr>
      <w:bookmarkStart w:id="80" w:name="_Toc29633"/>
      <w:bookmarkStart w:id="81"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80"/>
      <w:bookmarkEnd w:id="81"/>
    </w:p>
    <w:p>
      <w:pPr>
        <w:pStyle w:val="3"/>
        <w:rPr>
          <w:rFonts w:ascii="仿宋" w:hAnsi="仿宋" w:eastAsia="仿宋"/>
          <w:b w:val="0"/>
          <w:color w:val="auto"/>
          <w:highlight w:val="none"/>
        </w:rPr>
      </w:pPr>
      <w:bookmarkStart w:id="82" w:name="_Toc18612"/>
      <w:bookmarkStart w:id="83"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82"/>
      <w:bookmarkEnd w:id="83"/>
    </w:p>
    <w:p>
      <w:pPr>
        <w:pStyle w:val="3"/>
        <w:rPr>
          <w:rStyle w:val="26"/>
          <w:rFonts w:ascii="仿宋" w:hAnsi="仿宋" w:eastAsia="仿宋"/>
          <w:b w:val="0"/>
          <w:bCs w:val="0"/>
          <w:color w:val="auto"/>
          <w:highlight w:val="none"/>
        </w:rPr>
      </w:pPr>
      <w:bookmarkStart w:id="84" w:name="_Toc3126"/>
      <w:bookmarkStart w:id="85"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84"/>
      <w:bookmarkEnd w:id="85"/>
      <w:bookmarkStart w:id="86" w:name="_Toc15396624"/>
    </w:p>
    <w:p>
      <w:pPr>
        <w:pStyle w:val="3"/>
        <w:rPr>
          <w:rFonts w:ascii="仿宋" w:hAnsi="仿宋" w:eastAsia="仿宋"/>
          <w:color w:val="auto"/>
          <w:highlight w:val="none"/>
        </w:rPr>
      </w:pPr>
      <w:bookmarkStart w:id="87" w:name="_Toc22549"/>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86"/>
      <w:bookmarkEnd w:id="87"/>
    </w:p>
    <w:p>
      <w:pPr>
        <w:pStyle w:val="3"/>
        <w:rPr>
          <w:rFonts w:ascii="仿宋" w:hAnsi="仿宋" w:eastAsia="仿宋"/>
          <w:color w:val="auto"/>
          <w:highlight w:val="none"/>
        </w:rPr>
      </w:pPr>
      <w:bookmarkStart w:id="88" w:name="_Toc22772"/>
      <w:bookmarkStart w:id="89"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88"/>
      <w:bookmarkEnd w:id="89"/>
    </w:p>
    <w:p>
      <w:pPr>
        <w:pStyle w:val="3"/>
        <w:rPr>
          <w:rFonts w:ascii="仿宋" w:hAnsi="仿宋" w:eastAsia="仿宋"/>
          <w:color w:val="auto"/>
          <w:highlight w:val="none"/>
        </w:rPr>
      </w:pPr>
      <w:bookmarkStart w:id="90" w:name="_Toc15396626"/>
      <w:bookmarkStart w:id="91" w:name="_Toc2913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90"/>
      <w:bookmarkEnd w:id="91"/>
    </w:p>
    <w:p>
      <w:pPr>
        <w:pStyle w:val="3"/>
        <w:rPr>
          <w:rFonts w:ascii="仿宋" w:hAnsi="仿宋" w:eastAsia="仿宋"/>
          <w:color w:val="auto"/>
          <w:highlight w:val="none"/>
        </w:rPr>
      </w:pPr>
      <w:bookmarkStart w:id="92" w:name="_Toc14853"/>
      <w:bookmarkStart w:id="93"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92"/>
      <w:bookmarkEnd w:id="93"/>
    </w:p>
    <w:p>
      <w:pPr>
        <w:pStyle w:val="3"/>
        <w:rPr>
          <w:rFonts w:ascii="仿宋" w:hAnsi="仿宋" w:eastAsia="仿宋"/>
          <w:color w:val="auto"/>
          <w:highlight w:val="none"/>
        </w:rPr>
      </w:pPr>
      <w:bookmarkStart w:id="94" w:name="_Toc15396628"/>
      <w:bookmarkStart w:id="95" w:name="_Toc14713"/>
      <w:r>
        <w:rPr>
          <w:rStyle w:val="26"/>
          <w:rFonts w:hint="eastAsia" w:ascii="仿宋" w:hAnsi="仿宋" w:eastAsia="仿宋"/>
          <w:b w:val="0"/>
          <w:bCs w:val="0"/>
          <w:color w:val="auto"/>
          <w:highlight w:val="none"/>
        </w:rPr>
        <w:t>十、</w:t>
      </w:r>
      <w:bookmarkEnd w:id="94"/>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95"/>
    </w:p>
    <w:p>
      <w:pPr>
        <w:pStyle w:val="3"/>
        <w:rPr>
          <w:rFonts w:ascii="仿宋" w:hAnsi="仿宋" w:eastAsia="仿宋"/>
          <w:color w:val="auto"/>
          <w:highlight w:val="none"/>
        </w:rPr>
      </w:pPr>
      <w:bookmarkStart w:id="96" w:name="_Toc15396629"/>
      <w:bookmarkStart w:id="97" w:name="_Toc16785"/>
      <w:r>
        <w:rPr>
          <w:rStyle w:val="26"/>
          <w:rFonts w:hint="eastAsia" w:ascii="仿宋" w:hAnsi="仿宋" w:eastAsia="仿宋"/>
          <w:b w:val="0"/>
          <w:bCs w:val="0"/>
          <w:color w:val="auto"/>
          <w:highlight w:val="none"/>
        </w:rPr>
        <w:t>十一、</w:t>
      </w:r>
      <w:bookmarkEnd w:id="96"/>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97"/>
    </w:p>
    <w:p>
      <w:pPr>
        <w:pStyle w:val="3"/>
        <w:rPr>
          <w:rFonts w:ascii="仿宋" w:hAnsi="仿宋" w:eastAsia="仿宋"/>
          <w:color w:val="auto"/>
          <w:highlight w:val="none"/>
        </w:rPr>
      </w:pPr>
      <w:bookmarkStart w:id="98" w:name="_Toc15396630"/>
      <w:bookmarkStart w:id="99" w:name="_Toc10717"/>
      <w:r>
        <w:rPr>
          <w:rStyle w:val="26"/>
          <w:rFonts w:hint="eastAsia" w:ascii="仿宋" w:hAnsi="仿宋" w:eastAsia="仿宋"/>
          <w:b w:val="0"/>
          <w:bCs w:val="0"/>
          <w:color w:val="auto"/>
          <w:highlight w:val="none"/>
        </w:rPr>
        <w:t>十二、</w:t>
      </w:r>
      <w:bookmarkEnd w:id="98"/>
      <w:r>
        <w:rPr>
          <w:rStyle w:val="26"/>
          <w:rFonts w:hint="eastAsia" w:ascii="仿宋" w:hAnsi="仿宋" w:eastAsia="仿宋"/>
          <w:b w:val="0"/>
          <w:bCs w:val="0"/>
          <w:color w:val="auto"/>
          <w:highlight w:val="none"/>
          <w:lang w:eastAsia="zh-CN"/>
        </w:rPr>
        <w:t>国有资本经营预算财政拨款支出决算表</w:t>
      </w:r>
      <w:bookmarkEnd w:id="99"/>
    </w:p>
    <w:p>
      <w:pPr>
        <w:pStyle w:val="3"/>
        <w:rPr>
          <w:rFonts w:hint="eastAsia" w:eastAsia="仿宋"/>
          <w:color w:val="auto"/>
          <w:highlight w:val="none"/>
          <w:lang w:eastAsia="zh-CN"/>
        </w:rPr>
      </w:pPr>
      <w:bookmarkStart w:id="100" w:name="_Toc15396631"/>
      <w:bookmarkStart w:id="101" w:name="_Toc29550"/>
      <w:r>
        <w:rPr>
          <w:rStyle w:val="26"/>
          <w:rFonts w:hint="eastAsia" w:ascii="仿宋" w:hAnsi="仿宋" w:eastAsia="仿宋"/>
          <w:b w:val="0"/>
          <w:bCs w:val="0"/>
          <w:color w:val="auto"/>
          <w:highlight w:val="none"/>
        </w:rPr>
        <w:t>十三、</w:t>
      </w:r>
      <w:bookmarkEnd w:id="100"/>
      <w:r>
        <w:rPr>
          <w:rStyle w:val="26"/>
          <w:rFonts w:hint="eastAsia" w:ascii="仿宋" w:hAnsi="仿宋" w:eastAsia="仿宋"/>
          <w:b w:val="0"/>
          <w:bCs w:val="0"/>
          <w:color w:val="auto"/>
          <w:highlight w:val="none"/>
          <w:lang w:eastAsia="zh-CN"/>
        </w:rPr>
        <w:t>财政拨款“三公”经费支出决算表</w:t>
      </w:r>
      <w:bookmarkEnd w:id="101"/>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sdt>
      <w:sdtPr>
        <w:rPr>
          <w:rFonts w:hint="default"/>
          <w:lang w:val="en-US"/>
        </w:rPr>
        <w:id w:val="-1994781956"/>
      </w:sdtPr>
      <w:sdtEndPr>
        <w:rPr>
          <w:rFonts w:hint="default"/>
          <w:lang w:val="en-US"/>
        </w:rPr>
      </w:sdtEndP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sdt>
      <w:sdtPr>
        <w:rPr>
          <w:rFonts w:hint="default"/>
          <w:lang w:val="en-US"/>
        </w:rPr>
        <w:id w:val="-1994781956"/>
      </w:sdtPr>
      <w:sdtEndPr>
        <w:rPr>
          <w:rFonts w:hint="default"/>
          <w:lang w:val="en-US"/>
        </w:rPr>
      </w:sdtEndP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MjZkM2U3ZmI5ZTI1NjcyZjBiYzZjOWQ0MmYxNGIifQ=="/>
  </w:docVars>
  <w:rsids>
    <w:rsidRoot w:val="00000000"/>
    <w:rsid w:val="08732C15"/>
    <w:rsid w:val="0AE547B3"/>
    <w:rsid w:val="10192DCC"/>
    <w:rsid w:val="16705449"/>
    <w:rsid w:val="1A02204B"/>
    <w:rsid w:val="1C420FF2"/>
    <w:rsid w:val="27455C6D"/>
    <w:rsid w:val="2C9021AC"/>
    <w:rsid w:val="3193336D"/>
    <w:rsid w:val="33306488"/>
    <w:rsid w:val="3C5C1637"/>
    <w:rsid w:val="485D651B"/>
    <w:rsid w:val="497D613E"/>
    <w:rsid w:val="49A019DA"/>
    <w:rsid w:val="51E354DB"/>
    <w:rsid w:val="548F27E8"/>
    <w:rsid w:val="5BE2014D"/>
    <w:rsid w:val="5EDB41E5"/>
    <w:rsid w:val="655949F0"/>
    <w:rsid w:val="686300BC"/>
    <w:rsid w:val="6E5A1634"/>
    <w:rsid w:val="6F031F52"/>
    <w:rsid w:val="70C92BAE"/>
    <w:rsid w:val="75885657"/>
    <w:rsid w:val="7EEE78F7"/>
    <w:rsid w:val="ABFFD6B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收入</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收入</a:t>
                    </a:r>
                  </a:p>
                  <a:p>
                    <a:pPr defTabSz="914400">
                      <a:defRPr lang="zh-CN" sz="1000" b="0" i="0" u="none" strike="noStrike" kern="1200" baseline="0">
                        <a:solidFill>
                          <a:schemeClr val="tx1">
                            <a:lumMod val="75000"/>
                            <a:lumOff val="25000"/>
                          </a:schemeClr>
                        </a:solidFill>
                        <a:latin typeface="+mn-lt"/>
                        <a:ea typeface="+mn-ea"/>
                        <a:cs typeface="+mn-cs"/>
                      </a:defRPr>
                    </a:pPr>
                    <a:r>
                      <a:t>541.39</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收入</a:t>
                    </a:r>
                  </a:p>
                  <a:p>
                    <a:pPr defTabSz="914400">
                      <a:defRPr lang="zh-CN" sz="1000" b="0" i="0" u="none" strike="noStrike" kern="1200" baseline="0">
                        <a:solidFill>
                          <a:schemeClr val="tx1">
                            <a:lumMod val="75000"/>
                            <a:lumOff val="25000"/>
                          </a:schemeClr>
                        </a:solidFill>
                        <a:latin typeface="+mn-lt"/>
                        <a:ea typeface="+mn-ea"/>
                        <a:cs typeface="+mn-cs"/>
                      </a:defRPr>
                    </a:pPr>
                    <a:r>
                      <a:t>504.03</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#,##0.00</c:formatCode>
                <c:ptCount val="2"/>
                <c:pt idx="0">
                  <c:v>541.39</c:v>
                </c:pt>
                <c:pt idx="1">
                  <c:v>504.03</c:v>
                </c:pt>
              </c:numCache>
            </c:numRef>
          </c:val>
        </c:ser>
        <c:ser>
          <c:idx val="1"/>
          <c:order val="1"/>
          <c:tx>
            <c:strRef>
              <c:f>Sheet1!$C$1</c:f>
              <c:strCache>
                <c:ptCount val="1"/>
                <c:pt idx="0">
                  <c:v>支出</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支出</a:t>
                    </a:r>
                  </a:p>
                  <a:p>
                    <a:pPr defTabSz="914400">
                      <a:defRPr lang="zh-CN" sz="1000" b="0" i="0" u="none" strike="noStrike" kern="1200" baseline="0">
                        <a:solidFill>
                          <a:schemeClr val="tx1">
                            <a:lumMod val="75000"/>
                            <a:lumOff val="25000"/>
                          </a:schemeClr>
                        </a:solidFill>
                        <a:latin typeface="+mn-lt"/>
                        <a:ea typeface="+mn-ea"/>
                        <a:cs typeface="+mn-cs"/>
                      </a:defRPr>
                    </a:pPr>
                    <a:r>
                      <a:t>575.03</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支出</a:t>
                    </a:r>
                  </a:p>
                  <a:p>
                    <a:pPr defTabSz="914400">
                      <a:defRPr lang="zh-CN" sz="1000" b="0" i="0" u="none" strike="noStrike" kern="1200" baseline="0">
                        <a:solidFill>
                          <a:schemeClr val="tx1">
                            <a:lumMod val="75000"/>
                            <a:lumOff val="25000"/>
                          </a:schemeClr>
                        </a:solidFill>
                        <a:latin typeface="+mn-lt"/>
                        <a:ea typeface="+mn-ea"/>
                        <a:cs typeface="+mn-cs"/>
                      </a:defRPr>
                    </a:pPr>
                    <a:r>
                      <a:t>533.69</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#,##0.00</c:formatCode>
                <c:ptCount val="2"/>
                <c:pt idx="0">
                  <c:v>575.03</c:v>
                </c:pt>
                <c:pt idx="1">
                  <c:v>533.69</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65"/>
        <c:overlap val="-43"/>
        <c:axId val="486913638"/>
        <c:axId val="273752057"/>
      </c:barChart>
      <c:catAx>
        <c:axId val="48691363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false"/>
          <a:lstStyle/>
          <a:p>
            <a:pPr>
              <a:defRPr lang="zh-CN" sz="1000" b="0" i="0" u="none" strike="noStrike" kern="1200" baseline="0">
                <a:solidFill>
                  <a:schemeClr val="tx1">
                    <a:lumMod val="65000"/>
                    <a:lumOff val="35000"/>
                  </a:schemeClr>
                </a:solidFill>
                <a:latin typeface="+mn-lt"/>
                <a:ea typeface="+mn-ea"/>
                <a:cs typeface="+mn-cs"/>
              </a:defRPr>
            </a:pPr>
          </a:p>
        </c:txPr>
        <c:crossAx val="273752057"/>
        <c:crosses val="autoZero"/>
        <c:auto val="true"/>
        <c:lblAlgn val="ctr"/>
        <c:lblOffset val="100"/>
        <c:noMultiLvlLbl val="false"/>
      </c:catAx>
      <c:valAx>
        <c:axId val="273752057"/>
        <c:scaling>
          <c:orientation val="minMax"/>
        </c:scaling>
        <c:delete val="false"/>
        <c:axPos val="l"/>
        <c:majorGridlines>
          <c:spPr>
            <a:ln w="9525" cap="flat" cmpd="sng" algn="ctr">
              <a:solidFill>
                <a:schemeClr val="bg1">
                  <a:lumMod val="902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crossAx val="486913638"/>
        <c:crosses val="autoZero"/>
        <c:crossBetween val="between"/>
      </c:valAx>
      <c:spPr>
        <a:noFill/>
        <a:ln>
          <a:noFill/>
        </a:ln>
        <a:effectLst/>
      </c:spPr>
    </c:plotArea>
    <c:legend>
      <c:legendPos val="r"/>
      <c:legendEntry>
        <c:idx val="0"/>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delete val="true"/>
      </c:legendEntry>
      <c:layout/>
      <c:overlay val="false"/>
      <c:spPr>
        <a:noFill/>
        <a:ln>
          <a:noFill/>
        </a:ln>
        <a:effectLst/>
      </c:spPr>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06587241743327"/>
          <c:y val="0.13737747653806"/>
          <c:w val="0.395873925501433"/>
          <c:h val="0.684316996871741"/>
        </c:manualLayout>
      </c:layout>
      <c:pieChart>
        <c:varyColors val="true"/>
        <c:ser>
          <c:idx val="0"/>
          <c:order val="0"/>
          <c:tx>
            <c:strRef>
              <c:f>Sheet1!$B$1</c:f>
              <c:strCache>
                <c:ptCount val="1"/>
                <c:pt idx="0">
                  <c:v>销售额</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Lbls>
            <c:dLbl>
              <c:idx val="0"/>
              <c:layout>
                <c:manualLayout>
                  <c:x val="-0.016309059575008"/>
                  <c:y val="-0.224872489666068"/>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a:t>504.03</a:t>
                    </a:r>
                    <a:endParaRPr sz="900"/>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a:t>100%</a:t>
                    </a:r>
                    <a:endParaRPr lang="en-US" altLang="zh-CN" sz="9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一般公共预算收入财政拨款收入</c:v>
                </c:pt>
              </c:strCache>
            </c:strRef>
          </c:cat>
          <c:val>
            <c:numRef>
              <c:f>Sheet1!$B$2:$B$5</c:f>
              <c:numCache>
                <c:formatCode>General</c:formatCode>
                <c:ptCount val="4"/>
                <c:pt idx="0">
                  <c:v>504.03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b"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delete val="true"/>
      </c:legendEntry>
      <c:legendEntry>
        <c:idx val="2"/>
        <c:delete val="true"/>
      </c:legendEntry>
      <c:legendEntry>
        <c:idx val="3"/>
        <c:delete val="true"/>
      </c:legendEntry>
      <c:layout>
        <c:manualLayout>
          <c:xMode val="edge"/>
          <c:yMode val="edge"/>
          <c:x val="0.250640928969989"/>
          <c:y val="0.903023983315954"/>
          <c:w val="0.496757653445936"/>
          <c:h val="0.089155370177268"/>
        </c:manualLayout>
      </c:layout>
      <c:overlay val="false"/>
      <c:spPr>
        <a:noFill/>
        <a:ln>
          <a:noFill/>
        </a:ln>
        <a:effectLst/>
      </c:spPr>
      <c:txPr>
        <a:bodyPr rot="0" spcFirstLastPara="0" vertOverflow="ellipsis" vert="horz" wrap="square" anchor="b"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0923700887199"/>
          <c:y val="0.107262340036563"/>
          <c:w val="0.392932826362484"/>
          <c:h val="0.708464351005485"/>
        </c:manualLayout>
      </c:layout>
      <c:pieChart>
        <c:varyColors val="true"/>
        <c:ser>
          <c:idx val="0"/>
          <c:order val="0"/>
          <c:tx>
            <c:strRef>
              <c:f>Sheet1!$B$1</c:f>
              <c:strCache>
                <c:ptCount val="1"/>
                <c:pt idx="0">
                  <c:v>销售额</c:v>
                </c:pt>
              </c:strCache>
            </c:strRef>
          </c:tx>
          <c:spPr>
            <a:ln>
              <a:solidFill>
                <a:schemeClr val="tx2">
                  <a:lumMod val="60000"/>
                  <a:lumOff val="40000"/>
                </a:schemeClr>
              </a:solidFill>
            </a:ln>
          </c:spPr>
          <c:explosion val="0"/>
          <c:dPt>
            <c:idx val="0"/>
            <c:bubble3D val="false"/>
            <c:spPr>
              <a:solidFill>
                <a:schemeClr val="accent1"/>
              </a:solidFill>
              <a:ln>
                <a:solidFill>
                  <a:schemeClr val="tx2">
                    <a:lumMod val="60000"/>
                    <a:lumOff val="40000"/>
                  </a:schemeClr>
                </a:solidFill>
              </a:ln>
              <a:effectLst/>
            </c:spPr>
          </c:dPt>
          <c:dPt>
            <c:idx val="1"/>
            <c:bubble3D val="false"/>
            <c:spPr>
              <a:solidFill>
                <a:schemeClr val="accent2"/>
              </a:solidFill>
              <a:ln>
                <a:solidFill>
                  <a:schemeClr val="tx2">
                    <a:lumMod val="60000"/>
                    <a:lumOff val="40000"/>
                  </a:schemeClr>
                </a:solidFill>
              </a:ln>
              <a:effectLst/>
            </c:spPr>
          </c:dPt>
          <c:dPt>
            <c:idx val="2"/>
            <c:bubble3D val="false"/>
            <c:spPr>
              <a:solidFill>
                <a:schemeClr val="accent3"/>
              </a:solidFill>
              <a:ln>
                <a:solidFill>
                  <a:schemeClr val="tx2">
                    <a:lumMod val="60000"/>
                    <a:lumOff val="40000"/>
                  </a:schemeClr>
                </a:solidFill>
              </a:ln>
              <a:effectLst/>
            </c:spPr>
          </c:dPt>
          <c:dPt>
            <c:idx val="3"/>
            <c:bubble3D val="false"/>
            <c:spPr>
              <a:solidFill>
                <a:schemeClr val="accent4"/>
              </a:solidFill>
              <a:ln>
                <a:solidFill>
                  <a:schemeClr val="tx2">
                    <a:lumMod val="60000"/>
                    <a:lumOff val="40000"/>
                  </a:schemeClr>
                </a:solidFill>
              </a:ln>
              <a:effectLst/>
            </c:spPr>
          </c:dPt>
          <c:dLbls>
            <c:dLbl>
              <c:idx val="0"/>
              <c:layout>
                <c:manualLayout>
                  <c:x val="0.00618168386825104"/>
                  <c:y val="-0.16040736574889"/>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rPr sz="1000"/>
                      <a:t>基本支出</a:t>
                    </a:r>
                    <a:endParaRPr sz="1000"/>
                  </a:p>
                  <a:p>
                    <a:pPr defTabSz="914400">
                      <a:defRPr lang="zh-CN" sz="1000" b="0" i="0" u="none" strike="noStrike" kern="1200" baseline="0">
                        <a:solidFill>
                          <a:schemeClr val="tx1">
                            <a:lumMod val="75000"/>
                            <a:lumOff val="25000"/>
                          </a:schemeClr>
                        </a:solidFill>
                        <a:latin typeface="+mn-lt"/>
                        <a:ea typeface="+mn-ea"/>
                        <a:cs typeface="+mn-cs"/>
                      </a:defRPr>
                    </a:pPr>
                    <a:r>
                      <a:rPr sz="1000"/>
                      <a:t>501.73</a:t>
                    </a:r>
                    <a:endParaRPr sz="1000"/>
                  </a:p>
                  <a:p>
                    <a:pPr defTabSz="914400">
                      <a:defRPr lang="zh-CN" sz="1000" b="0" i="0" u="none" strike="noStrike" kern="1200" baseline="0">
                        <a:solidFill>
                          <a:schemeClr val="tx1">
                            <a:lumMod val="75000"/>
                            <a:lumOff val="25000"/>
                          </a:schemeClr>
                        </a:solidFill>
                        <a:latin typeface="+mn-lt"/>
                        <a:ea typeface="+mn-ea"/>
                        <a:cs typeface="+mn-cs"/>
                      </a:defRPr>
                    </a:pPr>
                    <a:r>
                      <a:rPr lang="en-US" altLang="zh-CN" sz="1000"/>
                      <a:t>94.01%</a:t>
                    </a:r>
                    <a:endParaRPr sz="1000"/>
                  </a:p>
                  <a:p>
                    <a:pPr defTabSz="914400">
                      <a:defRPr lang="zh-CN" sz="1000" b="0" i="0" u="none" strike="noStrike" kern="1200" baseline="0">
                        <a:solidFill>
                          <a:schemeClr val="tx1">
                            <a:lumMod val="75000"/>
                            <a:lumOff val="25000"/>
                          </a:schemeClr>
                        </a:solidFill>
                        <a:latin typeface="+mn-lt"/>
                        <a:ea typeface="+mn-ea"/>
                        <a:cs typeface="+mn-cs"/>
                      </a:defRPr>
                    </a:pPr>
                    <a:endParaRPr sz="1000"/>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98190745678516"/>
                  <c:y val="0.0411334552102377"/>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a:t>项目支出</a:t>
                    </a:r>
                    <a:endParaRPr sz="900"/>
                  </a:p>
                  <a:p>
                    <a:pPr defTabSz="914400">
                      <a:defRPr lang="zh-CN" sz="900" b="0" i="0" u="none" strike="noStrike" kern="1200" baseline="0">
                        <a:solidFill>
                          <a:schemeClr val="tx1">
                            <a:lumMod val="75000"/>
                            <a:lumOff val="25000"/>
                          </a:schemeClr>
                        </a:solidFill>
                        <a:latin typeface="+mn-lt"/>
                        <a:ea typeface="+mn-ea"/>
                        <a:cs typeface="+mn-cs"/>
                      </a:defRPr>
                    </a:pPr>
                    <a:r>
                      <a:rPr sz="900"/>
                      <a:t>31.96</a:t>
                    </a:r>
                    <a:endParaRPr sz="900"/>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a:t>5.99%</a:t>
                    </a:r>
                    <a:endParaRPr lang="en-US" altLang="zh-CN" sz="9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delete val="true"/>
            </c:dLbl>
            <c:dLbl>
              <c:idx val="3"/>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501.73</c:v>
                </c:pt>
                <c:pt idx="1">
                  <c:v>31.96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delete val="true"/>
      </c:legendEntry>
      <c:legendEntry>
        <c:idx val="3"/>
        <c:delete val="true"/>
      </c:legendEntry>
      <c:layout>
        <c:manualLayout>
          <c:xMode val="edge"/>
          <c:yMode val="edge"/>
          <c:x val="0.379024081115336"/>
          <c:y val="0.91179159049360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596279294515583"/>
          <c:y val="0.0881852953676158"/>
          <c:w val="0.907755496496738"/>
          <c:h val="0.754228644283893"/>
        </c:manualLayout>
      </c:layout>
      <c:barChart>
        <c:barDir val="col"/>
        <c:grouping val="clustered"/>
        <c:varyColors val="false"/>
        <c:ser>
          <c:idx val="0"/>
          <c:order val="0"/>
          <c:tx>
            <c:strRef>
              <c:f>Sheet1!$B$1</c:f>
              <c:strCache>
                <c:ptCount val="1"/>
                <c:pt idx="0">
                  <c:v>财政拨款收入</c:v>
                </c:pt>
              </c:strCache>
            </c:strRef>
          </c:tx>
          <c:spPr>
            <a:solidFill>
              <a:schemeClr val="accent1"/>
            </a:solidFill>
            <a:ln>
              <a:noFill/>
            </a:ln>
            <a:effectLst>
              <a:outerShdw blurRad="50800" dist="25400" dir="5400000" algn="ctr" rotWithShape="0">
                <a:srgbClr val="000000">
                  <a:alpha val="43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strCache>
            </c:strRef>
          </c:cat>
          <c:val>
            <c:numRef>
              <c:f>Sheet1!$B$2:$B$5</c:f>
              <c:numCache>
                <c:formatCode>General</c:formatCode>
                <c:ptCount val="4"/>
                <c:pt idx="0">
                  <c:v>541.39</c:v>
                </c:pt>
                <c:pt idx="1">
                  <c:v>504.03</c:v>
                </c:pt>
              </c:numCache>
            </c:numRef>
          </c:val>
        </c:ser>
        <c:ser>
          <c:idx val="1"/>
          <c:order val="1"/>
          <c:tx>
            <c:strRef>
              <c:f>Sheet1!$C$1</c:f>
              <c:strCache>
                <c:ptCount val="1"/>
                <c:pt idx="0">
                  <c:v>财政拨款支出</c:v>
                </c:pt>
              </c:strCache>
            </c:strRef>
          </c:tx>
          <c:spPr>
            <a:solidFill>
              <a:schemeClr val="accent2"/>
            </a:solidFill>
            <a:ln>
              <a:noFill/>
            </a:ln>
            <a:effectLst>
              <a:outerShdw blurRad="50800" dir="5400000" algn="ctr" rotWithShape="0">
                <a:srgbClr val="000000">
                  <a:alpha val="43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strCache>
            </c:strRef>
          </c:cat>
          <c:val>
            <c:numRef>
              <c:f>Sheet1!$C$2:$C$5</c:f>
              <c:numCache>
                <c:formatCode>General</c:formatCode>
                <c:ptCount val="4"/>
                <c:pt idx="0">
                  <c:v>575.03</c:v>
                </c:pt>
                <c:pt idx="1">
                  <c:v>533.69</c:v>
                </c:pt>
              </c:numCache>
            </c:numRef>
          </c:val>
        </c:ser>
        <c:dLbls>
          <c:showLegendKey val="false"/>
          <c:showVal val="true"/>
          <c:showCatName val="false"/>
          <c:showSerName val="false"/>
          <c:showPercent val="false"/>
          <c:showBubbleSize val="false"/>
        </c:dLbls>
        <c:gapWidth val="43"/>
        <c:overlap val="-28"/>
        <c:axId val="91819420"/>
        <c:axId val="622075549"/>
      </c:barChart>
      <c:catAx>
        <c:axId val="9181942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22075549"/>
        <c:crosses val="autoZero"/>
        <c:auto val="true"/>
        <c:lblAlgn val="ctr"/>
        <c:lblOffset val="100"/>
        <c:noMultiLvlLbl val="false"/>
      </c:catAx>
      <c:valAx>
        <c:axId val="622075549"/>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1819420"/>
        <c:crosses val="autoZero"/>
        <c:crossBetween val="between"/>
      </c:valAx>
      <c:spPr>
        <a:noFill/>
        <a:ln>
          <a:noFill/>
        </a:ln>
        <a:effectLst>
          <a:outerShdw blurRad="50800" dir="5400000" algn="ctr" rotWithShape="0">
            <a:srgbClr val="000000">
              <a:alpha val="43000"/>
            </a:srgbClr>
          </a:outerShdw>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0" cap="sq" cmpd="sng" algn="ctr">
      <a:solidFill>
        <a:schemeClr val="accent1"/>
      </a:solidFill>
      <a:round/>
    </a:ln>
    <a:effectLst>
      <a:outerShdw blurRad="50800" dist="12700" dir="5400000" algn="ctr" rotWithShape="0">
        <a:srgbClr val="000000">
          <a:alpha val="43000"/>
        </a:srgbClr>
      </a:outerShdw>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15675129468233"/>
          <c:y val="0.0602775368603643"/>
          <c:w val="0.87424529493495"/>
          <c:h val="0.760364267129228"/>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a:glow>
                <a:schemeClr val="accent1">
                  <a:alpha val="40000"/>
                </a:schemeClr>
              </a:glow>
              <a:outerShdw blurRad="50800" dist="50800" dir="5400000" sx="1000" sy="1000" algn="ctr" rotWithShape="0">
                <a:srgbClr val="000000">
                  <a:alpha val="43000"/>
                </a:srgbClr>
              </a:outerShdw>
            </a:effectLst>
          </c:spPr>
          <c:invertIfNegative val="false"/>
          <c:dPt>
            <c:idx val="1"/>
            <c:invertIfNegative val="false"/>
            <c:bubble3D val="false"/>
            <c:spPr>
              <a:solidFill>
                <a:schemeClr val="accent1"/>
              </a:solidFill>
              <a:ln>
                <a:noFill/>
              </a:ln>
              <a:effectLst>
                <a:glow>
                  <a:schemeClr val="accent1">
                    <a:alpha val="40000"/>
                  </a:schemeClr>
                </a:glow>
                <a:outerShdw blurRad="50800" dist="50800" dir="5400000" sx="1000" sy="1000" algn="ctr" rotWithShape="0">
                  <a:srgbClr val="000000">
                    <a:alpha val="43000"/>
                  </a:srgbClr>
                </a:outerShdw>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strCache>
            </c:strRef>
          </c:cat>
          <c:val>
            <c:numRef>
              <c:f>Sheet1!$B$2:$B$5</c:f>
              <c:numCache>
                <c:formatCode>General</c:formatCode>
                <c:ptCount val="4"/>
                <c:pt idx="0">
                  <c:v>525.06</c:v>
                </c:pt>
                <c:pt idx="1">
                  <c:v>533.69</c:v>
                </c:pt>
              </c:numCache>
            </c:numRef>
          </c:val>
        </c:ser>
        <c:dLbls>
          <c:showLegendKey val="false"/>
          <c:showVal val="true"/>
          <c:showCatName val="false"/>
          <c:showSerName val="false"/>
          <c:showPercent val="false"/>
          <c:showBubbleSize val="false"/>
        </c:dLbls>
        <c:gapWidth val="92"/>
        <c:overlap val="-100"/>
        <c:axId val="602125463"/>
        <c:axId val="102485553"/>
      </c:barChart>
      <c:catAx>
        <c:axId val="60212546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02485553"/>
        <c:crosses val="autoZero"/>
        <c:auto val="true"/>
        <c:lblAlgn val="ctr"/>
        <c:lblOffset val="100"/>
        <c:noMultiLvlLbl val="false"/>
      </c:catAx>
      <c:valAx>
        <c:axId val="102485553"/>
        <c:scaling>
          <c:orientation val="minMax"/>
          <c:max val="600"/>
          <c:min val="0"/>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212546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a:outerShdw blurRad="50800" dir="5400000" algn="ctr" rotWithShape="0">
        <a:srgbClr val="000000">
          <a:alpha val="43000"/>
        </a:srgbClr>
      </a:outerShdw>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07885962792945"/>
          <c:y val="0.142197195070123"/>
          <c:w val="0.409596520898768"/>
          <c:h val="0.720492987675308"/>
        </c:manualLayout>
      </c:layout>
      <c:pieChart>
        <c:varyColors val="true"/>
        <c:ser>
          <c:idx val="0"/>
          <c:order val="0"/>
          <c:tx>
            <c:strRef>
              <c:f>Sheet1!$B$1</c:f>
              <c:strCache>
                <c:ptCount val="1"/>
                <c:pt idx="0">
                  <c:v>销售额</c:v>
                </c:pt>
              </c:strCache>
            </c:strRef>
          </c:tx>
          <c:spPr/>
          <c:explosion val="1"/>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Lbls>
            <c:dLbl>
              <c:idx val="0"/>
              <c:layout>
                <c:manualLayout>
                  <c:x val="-0.061609084319884"/>
                  <c:y val="-0.210369740756481"/>
                </c:manualLayout>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800"/>
                      <a:t>一般公共服务支出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453.29</a:t>
                    </a:r>
                    <a:endParaRPr sz="800"/>
                  </a:p>
                  <a:p>
                    <a:pPr defTabSz="914400">
                      <a:defRPr lang="zh-CN" sz="800" b="0" i="0" u="none" strike="noStrike" kern="1200" baseline="0">
                        <a:solidFill>
                          <a:schemeClr val="tx1">
                            <a:lumMod val="75000"/>
                            <a:lumOff val="25000"/>
                          </a:schemeClr>
                        </a:solidFill>
                        <a:latin typeface="+mn-lt"/>
                        <a:ea typeface="+mn-ea"/>
                        <a:cs typeface="+mn-cs"/>
                      </a:defRPr>
                    </a:pPr>
                    <a:r>
                      <a:rPr lang="en-US" altLang="zh-CN" sz="800"/>
                      <a:t>84.94%</a:t>
                    </a:r>
                    <a:endParaRPr lang="en-US" altLang="zh-CN" sz="8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43660127107909"/>
                  <c:y val="0.0862816262757197"/>
                </c:manualLayout>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800"/>
                      <a:t>社会保障和就业支出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31.81</a:t>
                    </a:r>
                    <a:endParaRPr sz="800"/>
                  </a:p>
                  <a:p>
                    <a:pPr defTabSz="914400">
                      <a:defRPr lang="zh-CN" sz="800" b="0" i="0" u="none" strike="noStrike" kern="1200" baseline="0">
                        <a:solidFill>
                          <a:schemeClr val="tx1">
                            <a:lumMod val="75000"/>
                            <a:lumOff val="25000"/>
                          </a:schemeClr>
                        </a:solidFill>
                        <a:latin typeface="+mn-lt"/>
                        <a:ea typeface="+mn-ea"/>
                        <a:cs typeface="+mn-cs"/>
                      </a:defRPr>
                    </a:pPr>
                    <a:r>
                      <a:rPr lang="en-US" altLang="zh-CN" sz="800"/>
                      <a:t>5.96%</a:t>
                    </a:r>
                    <a:endParaRPr lang="en-US" altLang="zh-CN" sz="8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08715015288676"/>
                  <c:y val="0.0127496812579686"/>
                </c:manualLayout>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800"/>
                      <a:t>卫生健康支出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15.98</a:t>
                    </a:r>
                    <a:endParaRPr sz="800"/>
                  </a:p>
                  <a:p>
                    <a:pPr defTabSz="914400">
                      <a:defRPr lang="zh-CN" sz="800" b="0" i="0" u="none" strike="noStrike" kern="1200" baseline="0">
                        <a:solidFill>
                          <a:schemeClr val="tx1">
                            <a:lumMod val="75000"/>
                            <a:lumOff val="25000"/>
                          </a:schemeClr>
                        </a:solidFill>
                        <a:latin typeface="+mn-lt"/>
                        <a:ea typeface="+mn-ea"/>
                        <a:cs typeface="+mn-cs"/>
                      </a:defRPr>
                    </a:pPr>
                    <a:r>
                      <a:rPr lang="en-US" altLang="zh-CN" sz="800"/>
                      <a:t>2.99%</a:t>
                    </a:r>
                    <a:endParaRPr lang="en-US" altLang="zh-CN" sz="8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9515051124422"/>
                  <c:y val="0"/>
                </c:manualLayout>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800"/>
                      <a:t>住房保障支出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32.6</a:t>
                    </a:r>
                    <a:endParaRPr sz="800"/>
                  </a:p>
                  <a:p>
                    <a:pPr defTabSz="914400">
                      <a:defRPr lang="zh-CN" sz="800" b="0" i="0" u="none" strike="noStrike" kern="1200" baseline="0">
                        <a:solidFill>
                          <a:schemeClr val="tx1">
                            <a:lumMod val="75000"/>
                            <a:lumOff val="25000"/>
                          </a:schemeClr>
                        </a:solidFill>
                        <a:latin typeface="+mn-lt"/>
                        <a:ea typeface="+mn-ea"/>
                        <a:cs typeface="+mn-cs"/>
                      </a:defRPr>
                    </a:pPr>
                    <a:r>
                      <a:rPr lang="en-US" altLang="zh-CN" sz="800"/>
                      <a:t>6.11%</a:t>
                    </a:r>
                    <a:endParaRPr lang="en-US" altLang="zh-CN" sz="8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453.29</c:v>
                </c:pt>
                <c:pt idx="1">
                  <c:v>31.81</c:v>
                </c:pt>
                <c:pt idx="2">
                  <c:v>15.98</c:v>
                </c:pt>
                <c:pt idx="3">
                  <c:v>32.6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manualLayout>
          <c:xMode val="edge"/>
          <c:yMode val="edge"/>
          <c:x val="0.104433438028509"/>
          <c:y val="0.89885252868678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6193409579889"/>
          <c:y val="0.0988738981831265"/>
          <c:w val="0.472734684633677"/>
          <c:h val="0.750983989926246"/>
        </c:manualLayout>
      </c:layout>
      <c:pieChart>
        <c:varyColors val="true"/>
        <c:ser>
          <c:idx val="0"/>
          <c:order val="0"/>
          <c:tx>
            <c:strRef>
              <c:f>Sheet1!$B$1</c:f>
              <c:strCache>
                <c:ptCount val="1"/>
                <c:pt idx="0">
                  <c:v>销售额</c:v>
                </c:pt>
              </c:strCache>
            </c:strRef>
          </c:tx>
          <c:spPr/>
          <c:explosion val="2"/>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Lbls>
            <c:dLbl>
              <c:idx val="0"/>
              <c:layout>
                <c:manualLayout>
                  <c:x val="0.0657563268183286"/>
                  <c:y val="-0.166403099563012"/>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a:t>公务用车购置及运行维护费</a:t>
                    </a:r>
                    <a:endParaRPr sz="900"/>
                  </a:p>
                  <a:p>
                    <a:pPr defTabSz="914400">
                      <a:defRPr lang="zh-CN" sz="900" b="0" i="0" u="none" strike="noStrike" kern="1200" baseline="0">
                        <a:solidFill>
                          <a:schemeClr val="tx1">
                            <a:lumMod val="75000"/>
                            <a:lumOff val="25000"/>
                          </a:schemeClr>
                        </a:solidFill>
                        <a:latin typeface="+mn-lt"/>
                        <a:ea typeface="+mn-ea"/>
                        <a:cs typeface="+mn-cs"/>
                      </a:defRPr>
                    </a:pPr>
                    <a:r>
                      <a:rPr sz="900"/>
                      <a:t>18.19</a:t>
                    </a:r>
                    <a:endParaRPr sz="900"/>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a:t>99.40%</a:t>
                    </a:r>
                    <a:endParaRPr lang="en-US" altLang="zh-CN" sz="9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84777466837276"/>
                  <c:y val="0.00386272879021361"/>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a:t>公务接待费</a:t>
                    </a:r>
                    <a:endParaRPr sz="900"/>
                  </a:p>
                  <a:p>
                    <a:pPr defTabSz="914400">
                      <a:defRPr lang="zh-CN" sz="900" b="0" i="0" u="none" strike="noStrike" kern="1200" baseline="0">
                        <a:solidFill>
                          <a:schemeClr val="tx1">
                            <a:lumMod val="75000"/>
                            <a:lumOff val="25000"/>
                          </a:schemeClr>
                        </a:solidFill>
                        <a:latin typeface="+mn-lt"/>
                        <a:ea typeface="+mn-ea"/>
                        <a:cs typeface="+mn-cs"/>
                      </a:defRPr>
                    </a:pPr>
                    <a:r>
                      <a:rPr sz="900"/>
                      <a:t>0.11</a:t>
                    </a:r>
                    <a:endParaRPr sz="900"/>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a:t>0.6%</a:t>
                    </a:r>
                    <a:endParaRPr lang="en-US" altLang="zh-CN" sz="9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50972973509794"/>
                  <c:y val="0.0142003330650679"/>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a:t>因公出国（境）费</a:t>
                    </a:r>
                    <a:endParaRPr sz="900"/>
                  </a:p>
                  <a:p>
                    <a:pPr defTabSz="914400">
                      <a:defRPr lang="zh-CN" sz="900" b="0" i="0" u="none" strike="noStrike" kern="1200" baseline="0">
                        <a:solidFill>
                          <a:schemeClr val="tx1">
                            <a:lumMod val="75000"/>
                            <a:lumOff val="25000"/>
                          </a:schemeClr>
                        </a:solidFill>
                        <a:latin typeface="+mn-lt"/>
                        <a:ea typeface="+mn-ea"/>
                        <a:cs typeface="+mn-cs"/>
                      </a:defRPr>
                    </a:pPr>
                    <a:r>
                      <a:rPr sz="900"/>
                      <a:t>0</a:t>
                    </a:r>
                    <a:endParaRPr sz="900"/>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a:t>0%</a:t>
                    </a:r>
                    <a:endParaRPr lang="en-US" altLang="zh-CN" sz="900"/>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公务用车购置及运行维护费</c:v>
                </c:pt>
                <c:pt idx="1">
                  <c:v>公务接待费</c:v>
                </c:pt>
                <c:pt idx="2">
                  <c:v>因公出国（境）费</c:v>
                </c:pt>
              </c:strCache>
            </c:strRef>
          </c:cat>
          <c:val>
            <c:numRef>
              <c:f>Sheet1!$B$2:$B$5</c:f>
              <c:numCache>
                <c:formatCode>General</c:formatCode>
                <c:ptCount val="4"/>
                <c:pt idx="0">
                  <c:v>18.19</c:v>
                </c:pt>
                <c:pt idx="1">
                  <c:v>0.11</c:v>
                </c:pt>
                <c:pt idx="2">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3"/>
        <c:delete val="true"/>
      </c:legendEntry>
      <c:layout>
        <c:manualLayout>
          <c:xMode val="edge"/>
          <c:yMode val="edge"/>
          <c:x val="0.230706576300311"/>
          <c:y val="0.92445773718042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5209</Words>
  <Characters>5740</Characters>
  <Lines>61</Lines>
  <Paragraphs>17</Paragraphs>
  <TotalTime>5</TotalTime>
  <ScaleCrop>false</ScaleCrop>
  <LinksUpToDate>false</LinksUpToDate>
  <CharactersWithSpaces>5932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bubble</cp:lastModifiedBy>
  <cp:lastPrinted>2023-08-01T10:35:00Z</cp:lastPrinted>
  <dcterms:modified xsi:type="dcterms:W3CDTF">2023-10-08T16:05:24Z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457C86E779D74F3D92BCEEF8E94A3DE6_13</vt:lpwstr>
  </property>
</Properties>
</file>