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77193"/>
      <w:bookmarkStart w:id="1" w:name="_Toc15377425"/>
      <w:bookmarkStart w:id="2" w:name="_Toc15396475"/>
      <w:bookmarkStart w:id="3" w:name="_Toc15396597"/>
      <w:bookmarkStart w:id="4" w:name="_Toc15378441"/>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24636"/>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7" w:name="_Toc15396598"/>
      <w:bookmarkStart w:id="8" w:name="_Toc15377426"/>
      <w:bookmarkStart w:id="9" w:name="_Toc1710"/>
      <w:bookmarkStart w:id="10" w:name="_Toc15377194"/>
      <w:bookmarkStart w:id="11" w:name="_Toc15396476"/>
      <w:bookmarkStart w:id="12" w:name="_Toc15378442"/>
      <w:r>
        <w:rPr>
          <w:rFonts w:hint="eastAsia" w:ascii="方正小标宋简体" w:hAnsi="方正小标宋简体" w:eastAsia="方正小标宋简体" w:cs="方正小标宋简体"/>
          <w:color w:val="auto"/>
          <w:sz w:val="72"/>
          <w:szCs w:val="72"/>
          <w:highlight w:val="none"/>
          <w:lang w:val="en-US" w:eastAsia="zh-CN"/>
        </w:rPr>
        <w:t>巴中市</w:t>
      </w:r>
      <w:bookmarkEnd w:id="5"/>
      <w:bookmarkStart w:id="13" w:name="_Toc15306268"/>
      <w:r>
        <w:rPr>
          <w:rFonts w:hint="eastAsia" w:ascii="方正小标宋简体" w:hAnsi="方正小标宋简体" w:eastAsia="方正小标宋简体" w:cs="方正小标宋简体"/>
          <w:color w:val="auto"/>
          <w:sz w:val="72"/>
          <w:szCs w:val="72"/>
          <w:highlight w:val="none"/>
          <w:lang w:val="en-US" w:eastAsia="zh-CN"/>
        </w:rPr>
        <w:t>市场监督管理局</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7"/>
      <w:bookmarkEnd w:id="8"/>
      <w:bookmarkEnd w:id="9"/>
      <w:bookmarkEnd w:id="10"/>
      <w:bookmarkEnd w:id="11"/>
      <w:bookmarkEnd w:id="12"/>
      <w:bookmarkEnd w:id="13"/>
    </w:p>
    <w:p>
      <w:pPr>
        <w:widowControl/>
        <w:jc w:val="center"/>
        <w:rPr>
          <w:rFonts w:ascii="黑体" w:hAnsi="黑体" w:eastAsia="黑体" w:cstheme="minorBidi"/>
          <w:color w:val="auto"/>
          <w:sz w:val="28"/>
          <w:szCs w:val="2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13</w:t>
      </w:r>
      <w:r>
        <w:rPr>
          <w:rFonts w:hint="eastAsia"/>
          <w:color w:val="auto"/>
          <w:highlight w:val="none"/>
        </w:rPr>
        <w:t>日</w:t>
      </w:r>
    </w:p>
    <w:p>
      <w:pPr>
        <w:rPr>
          <w:color w:val="auto"/>
          <w:highlight w:val="none"/>
        </w:rPr>
      </w:pPr>
    </w:p>
    <w:sdt>
      <w:sdtPr>
        <w:rPr>
          <w:rFonts w:ascii="宋体" w:hAnsi="宋体" w:eastAsia="宋体" w:cs="Times New Roman"/>
          <w:kern w:val="2"/>
          <w:sz w:val="24"/>
          <w:szCs w:val="24"/>
          <w:lang w:val="en-US" w:eastAsia="zh-CN" w:bidi="ar-SA"/>
        </w:rPr>
        <w:id w:val="147460794"/>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sz w:val="24"/>
              <w:szCs w:val="24"/>
            </w:rPr>
          </w:pPr>
          <w:bookmarkStart w:id="14" w:name="_Toc15377196"/>
          <w:bookmarkStart w:id="15" w:name="_Toc15396599"/>
          <w:r>
            <w:rPr>
              <w:sz w:val="24"/>
              <w:szCs w:val="24"/>
            </w:rPr>
            <w:fldChar w:fldCharType="begin"/>
          </w:r>
          <w:r>
            <w:rPr>
              <w:sz w:val="24"/>
              <w:szCs w:val="24"/>
            </w:rPr>
            <w:instrText xml:space="preserve">TOC \o "1-2" \h \u </w:instrText>
          </w:r>
          <w:r>
            <w:rPr>
              <w:sz w:val="24"/>
              <w:szCs w:val="24"/>
            </w:rPr>
            <w:fldChar w:fldCharType="separate"/>
          </w:r>
        </w:p>
        <w:p>
          <w:pPr>
            <w:pStyle w:val="36"/>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_Toc18520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 xml:space="preserve">第一部分 </w:t>
          </w:r>
          <w:r>
            <w:rPr>
              <w:rFonts w:hint="eastAsia" w:ascii="仿宋" w:hAnsi="仿宋" w:eastAsia="仿宋" w:cs="仿宋"/>
              <w:b/>
              <w:bCs w:val="0"/>
              <w:sz w:val="24"/>
              <w:szCs w:val="24"/>
              <w:highlight w:val="none"/>
            </w:rPr>
            <w:t>部门概况</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_Toc18520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3</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_Toc7397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一、</w:t>
          </w:r>
          <w:r>
            <w:rPr>
              <w:rFonts w:hint="eastAsia" w:ascii="仿宋" w:hAnsi="仿宋" w:eastAsia="仿宋" w:cs="仿宋"/>
              <w:sz w:val="24"/>
              <w:szCs w:val="24"/>
              <w:highlight w:val="none"/>
              <w:lang w:eastAsia="zh-CN"/>
            </w:rPr>
            <w:t>部门职责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_Toc7397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_Toc30462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二、机</w:t>
          </w:r>
          <w:r>
            <w:rPr>
              <w:rFonts w:hint="eastAsia" w:ascii="仿宋" w:hAnsi="仿宋" w:eastAsia="仿宋" w:cs="仿宋"/>
              <w:bCs w:val="0"/>
              <w:sz w:val="24"/>
              <w:szCs w:val="24"/>
              <w:highlight w:val="none"/>
            </w:rPr>
            <w:t>构设置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_Toc30462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_Toc13386 </w:instrText>
          </w:r>
          <w:r>
            <w:rPr>
              <w:rFonts w:hint="eastAsia" w:ascii="仿宋" w:hAnsi="仿宋" w:eastAsia="仿宋" w:cs="仿宋"/>
              <w:b/>
              <w:sz w:val="24"/>
              <w:szCs w:val="24"/>
            </w:rPr>
            <w:fldChar w:fldCharType="separate"/>
          </w:r>
          <w:r>
            <w:rPr>
              <w:rFonts w:hint="eastAsia" w:ascii="仿宋" w:hAnsi="仿宋" w:eastAsia="仿宋" w:cs="仿宋"/>
              <w:b/>
              <w:bCs/>
              <w:sz w:val="24"/>
              <w:szCs w:val="24"/>
              <w:highlight w:val="none"/>
            </w:rPr>
            <w:t xml:space="preserve">第二部分 </w:t>
          </w:r>
          <w:r>
            <w:rPr>
              <w:rFonts w:hint="eastAsia" w:ascii="仿宋" w:hAnsi="仿宋" w:eastAsia="仿宋" w:cs="仿宋"/>
              <w:b/>
              <w:bCs/>
              <w:sz w:val="24"/>
              <w:szCs w:val="24"/>
              <w:highlight w:val="none"/>
              <w:lang w:val="en-US" w:eastAsia="zh-CN"/>
            </w:rPr>
            <w:t>2022年度</w:t>
          </w:r>
          <w:r>
            <w:rPr>
              <w:rFonts w:hint="eastAsia" w:ascii="仿宋" w:hAnsi="仿宋" w:eastAsia="仿宋" w:cs="仿宋"/>
              <w:b/>
              <w:bCs/>
              <w:sz w:val="24"/>
              <w:szCs w:val="24"/>
              <w:highlight w:val="none"/>
            </w:rPr>
            <w:t>部门决算情况说明</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_Toc13386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7</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_Toc30653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一、 </w:t>
          </w:r>
          <w:r>
            <w:rPr>
              <w:rFonts w:hint="eastAsia" w:ascii="仿宋" w:hAnsi="仿宋" w:eastAsia="仿宋" w:cs="仿宋"/>
              <w:sz w:val="24"/>
              <w:szCs w:val="24"/>
              <w:highlight w:val="none"/>
            </w:rPr>
            <w:t>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_Toc30653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_Toc25008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二、 </w:t>
          </w:r>
          <w:r>
            <w:rPr>
              <w:rFonts w:hint="eastAsia" w:ascii="仿宋" w:hAnsi="仿宋" w:eastAsia="仿宋" w:cs="仿宋"/>
              <w:sz w:val="24"/>
              <w:szCs w:val="24"/>
              <w:highlight w:val="none"/>
            </w:rPr>
            <w:t>收入决算情况说明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_Toc25008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_Toc834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三、 </w:t>
          </w:r>
          <w:r>
            <w:rPr>
              <w:rFonts w:hint="eastAsia" w:ascii="仿宋" w:hAnsi="仿宋" w:eastAsia="仿宋" w:cs="仿宋"/>
              <w:sz w:val="24"/>
              <w:szCs w:val="24"/>
              <w:highlight w:val="none"/>
            </w:rPr>
            <w:t>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_Toc834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_Toc11972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四、财政拨款收入支出决算总体情况说明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_Toc11972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_Toc6906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五、一般公共预算财政拨款支出决算情况说明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_Toc6906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_Toc4396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六、一般公共预算财政拨款基本支出决算情况说明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_Toc4396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_Toc2375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七、财政拨款“三公”经费支出决算情况说明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_Toc2375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_Toc6418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八、政府性基金预算支出决算情况说明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_Toc6418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_Toc14989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九、 </w:t>
          </w:r>
          <w:r>
            <w:rPr>
              <w:rFonts w:hint="eastAsia" w:ascii="仿宋" w:hAnsi="仿宋" w:eastAsia="仿宋" w:cs="仿宋"/>
              <w:sz w:val="24"/>
              <w:szCs w:val="24"/>
              <w:highlight w:val="none"/>
            </w:rPr>
            <w:t>国有资本经营预算支出决算情况说明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_Toc14989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_Toc30716 </w:instrText>
          </w:r>
          <w:r>
            <w:rPr>
              <w:rFonts w:hint="eastAsia" w:ascii="仿宋" w:hAnsi="仿宋" w:eastAsia="仿宋" w:cs="仿宋"/>
              <w:sz w:val="24"/>
              <w:szCs w:val="24"/>
            </w:rPr>
            <w:fldChar w:fldCharType="separate"/>
          </w:r>
          <w:r>
            <w:rPr>
              <w:rFonts w:hint="eastAsia" w:ascii="仿宋" w:hAnsi="仿宋" w:eastAsia="仿宋" w:cs="仿宋"/>
              <w:sz w:val="24"/>
              <w:szCs w:val="24"/>
            </w:rPr>
            <w:t xml:space="preserve">十、 </w:t>
          </w:r>
          <w:r>
            <w:rPr>
              <w:rFonts w:hint="eastAsia" w:ascii="仿宋" w:hAnsi="仿宋" w:eastAsia="仿宋" w:cs="仿宋"/>
              <w:sz w:val="24"/>
              <w:szCs w:val="24"/>
              <w:highlight w:val="none"/>
            </w:rPr>
            <w:t>其他重要事项的情况说明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_Toc30716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_Toc23740 </w:instrText>
          </w:r>
          <w:r>
            <w:rPr>
              <w:rFonts w:hint="eastAsia" w:ascii="仿宋" w:hAnsi="仿宋" w:eastAsia="仿宋" w:cs="仿宋"/>
              <w:b/>
              <w:sz w:val="24"/>
              <w:szCs w:val="24"/>
            </w:rPr>
            <w:fldChar w:fldCharType="separate"/>
          </w:r>
          <w:r>
            <w:rPr>
              <w:rFonts w:hint="eastAsia" w:ascii="仿宋" w:hAnsi="仿宋" w:eastAsia="仿宋" w:cs="仿宋"/>
              <w:b/>
              <w:sz w:val="24"/>
              <w:szCs w:val="24"/>
            </w:rPr>
            <w:t xml:space="preserve">第三部分 </w:t>
          </w:r>
          <w:r>
            <w:rPr>
              <w:rFonts w:hint="eastAsia" w:ascii="仿宋" w:hAnsi="仿宋" w:eastAsia="仿宋" w:cs="仿宋"/>
              <w:b/>
              <w:sz w:val="24"/>
              <w:szCs w:val="24"/>
              <w:highlight w:val="none"/>
            </w:rPr>
            <w:t>名词解释</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_Toc23740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17</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6"/>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_Toc28035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第四部分 附件</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_Toc28035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20</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_Toc26800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附件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_Toc26800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6"/>
            <w:tabs>
              <w:tab w:val="right" w:leader="dot" w:pos="8306"/>
            </w:tabs>
            <w:rPr>
              <w:rFonts w:hint="eastAsia" w:ascii="仿宋" w:hAnsi="仿宋" w:eastAsia="仿宋" w:cs="仿宋"/>
              <w:b/>
              <w:sz w:val="24"/>
              <w:szCs w:val="24"/>
            </w:rPr>
          </w:pP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HYPERLINK \l _Toc22884 </w:instrText>
          </w:r>
          <w:r>
            <w:rPr>
              <w:rFonts w:hint="eastAsia" w:ascii="仿宋" w:hAnsi="仿宋" w:eastAsia="仿宋" w:cs="仿宋"/>
              <w:b/>
              <w:sz w:val="24"/>
              <w:szCs w:val="24"/>
            </w:rPr>
            <w:fldChar w:fldCharType="separate"/>
          </w:r>
          <w:r>
            <w:rPr>
              <w:rFonts w:hint="eastAsia" w:ascii="仿宋" w:hAnsi="仿宋" w:eastAsia="仿宋" w:cs="仿宋"/>
              <w:b/>
              <w:sz w:val="24"/>
              <w:szCs w:val="24"/>
              <w:highlight w:val="none"/>
            </w:rPr>
            <w:t>第五部分 附表</w:t>
          </w:r>
          <w:r>
            <w:rPr>
              <w:rFonts w:hint="eastAsia" w:ascii="仿宋" w:hAnsi="仿宋" w:eastAsia="仿宋" w:cs="仿宋"/>
              <w:b/>
              <w:sz w:val="24"/>
              <w:szCs w:val="24"/>
            </w:rPr>
            <w:tab/>
          </w:r>
          <w:r>
            <w:rPr>
              <w:rFonts w:hint="eastAsia" w:ascii="仿宋" w:hAnsi="仿宋" w:eastAsia="仿宋" w:cs="仿宋"/>
              <w:b/>
              <w:sz w:val="24"/>
              <w:szCs w:val="24"/>
            </w:rPr>
            <w:fldChar w:fldCharType="begin"/>
          </w:r>
          <w:r>
            <w:rPr>
              <w:rFonts w:hint="eastAsia" w:ascii="仿宋" w:hAnsi="仿宋" w:eastAsia="仿宋" w:cs="仿宋"/>
              <w:b/>
              <w:sz w:val="24"/>
              <w:szCs w:val="24"/>
            </w:rPr>
            <w:instrText xml:space="preserve"> PAGEREF _Toc22884 \h </w:instrText>
          </w:r>
          <w:r>
            <w:rPr>
              <w:rFonts w:hint="eastAsia" w:ascii="仿宋" w:hAnsi="仿宋" w:eastAsia="仿宋" w:cs="仿宋"/>
              <w:b/>
              <w:sz w:val="24"/>
              <w:szCs w:val="24"/>
            </w:rPr>
            <w:fldChar w:fldCharType="separate"/>
          </w:r>
          <w:r>
            <w:rPr>
              <w:rFonts w:hint="eastAsia" w:ascii="仿宋" w:hAnsi="仿宋" w:eastAsia="仿宋" w:cs="仿宋"/>
              <w:b/>
              <w:sz w:val="24"/>
              <w:szCs w:val="24"/>
            </w:rPr>
            <w:t>1</w:t>
          </w:r>
          <w:r>
            <w:rPr>
              <w:rFonts w:hint="eastAsia" w:ascii="仿宋" w:hAnsi="仿宋" w:eastAsia="仿宋" w:cs="仿宋"/>
              <w:b/>
              <w:sz w:val="24"/>
              <w:szCs w:val="24"/>
            </w:rPr>
            <w:fldChar w:fldCharType="end"/>
          </w:r>
          <w:r>
            <w:rPr>
              <w:rFonts w:hint="eastAsia" w:ascii="仿宋" w:hAnsi="仿宋" w:eastAsia="仿宋" w:cs="仿宋"/>
              <w:b/>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_Toc2757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一、收</w:t>
          </w:r>
          <w:r>
            <w:rPr>
              <w:rFonts w:hint="eastAsia" w:ascii="仿宋" w:hAnsi="仿宋" w:eastAsia="仿宋" w:cs="仿宋"/>
              <w:bCs w:val="0"/>
              <w:sz w:val="24"/>
              <w:szCs w:val="24"/>
              <w:highlight w:val="none"/>
            </w:rPr>
            <w:t>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_Toc2757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_Toc29781 </w:instrText>
          </w:r>
          <w:r>
            <w:rPr>
              <w:rFonts w:hint="eastAsia" w:ascii="仿宋" w:hAnsi="仿宋" w:eastAsia="仿宋" w:cs="仿宋"/>
              <w:sz w:val="24"/>
              <w:szCs w:val="24"/>
            </w:rPr>
            <w:fldChar w:fldCharType="separate"/>
          </w:r>
          <w:r>
            <w:rPr>
              <w:rFonts w:hint="eastAsia" w:ascii="仿宋" w:hAnsi="仿宋" w:eastAsia="仿宋" w:cs="仿宋"/>
              <w:sz w:val="24"/>
              <w:szCs w:val="24"/>
              <w:highlight w:val="none"/>
            </w:rPr>
            <w:t>二、收</w:t>
          </w:r>
          <w:r>
            <w:rPr>
              <w:rFonts w:hint="eastAsia" w:ascii="仿宋" w:hAnsi="仿宋" w:eastAsia="仿宋" w:cs="仿宋"/>
              <w:bCs w:val="0"/>
              <w:sz w:val="24"/>
              <w:szCs w:val="24"/>
              <w:highlight w:val="none"/>
            </w:rPr>
            <w:t>入决算表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_Toc29781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_Toc32502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三、</w:t>
          </w:r>
          <w:r>
            <w:rPr>
              <w:rFonts w:hint="eastAsia" w:ascii="仿宋" w:hAnsi="仿宋" w:eastAsia="仿宋" w:cs="仿宋"/>
              <w:sz w:val="24"/>
              <w:szCs w:val="24"/>
              <w:highlight w:val="none"/>
            </w:rPr>
            <w:t>支</w:t>
          </w:r>
          <w:r>
            <w:rPr>
              <w:rFonts w:hint="eastAsia" w:ascii="仿宋" w:hAnsi="仿宋" w:eastAsia="仿宋" w:cs="仿宋"/>
              <w:bCs w:val="0"/>
              <w:sz w:val="24"/>
              <w:szCs w:val="24"/>
              <w:highlight w:val="none"/>
            </w:rPr>
            <w:t>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_Toc32502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_Toc2005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四、</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政拨款收入支出决算总表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_Toc2005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_Toc14055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五、</w:t>
          </w:r>
          <w:r>
            <w:rPr>
              <w:rFonts w:hint="eastAsia" w:ascii="仿宋" w:hAnsi="仿宋" w:eastAsia="仿宋" w:cs="仿宋"/>
              <w:sz w:val="24"/>
              <w:szCs w:val="24"/>
              <w:highlight w:val="none"/>
            </w:rPr>
            <w:t>财</w:t>
          </w:r>
          <w:r>
            <w:rPr>
              <w:rFonts w:hint="eastAsia" w:ascii="仿宋" w:hAnsi="仿宋" w:eastAsia="仿宋" w:cs="仿宋"/>
              <w:bCs w:val="0"/>
              <w:sz w:val="24"/>
              <w:szCs w:val="24"/>
              <w:highlight w:val="none"/>
            </w:rPr>
            <w:t>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_Toc14055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_Toc16595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六、</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_Toc16595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_Toc16663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七、</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般公共预算财政拨款支出决算明细表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_Toc16663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_Toc31712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八、</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般公共预算财政拨款基本支出决算表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_Toc31712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_Toc6077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九、</w:t>
          </w:r>
          <w:r>
            <w:rPr>
              <w:rFonts w:hint="eastAsia" w:ascii="仿宋" w:hAnsi="仿宋" w:eastAsia="仿宋" w:cs="仿宋"/>
              <w:sz w:val="24"/>
              <w:szCs w:val="24"/>
              <w:highlight w:val="none"/>
            </w:rPr>
            <w:t>一</w:t>
          </w:r>
          <w:r>
            <w:rPr>
              <w:rFonts w:hint="eastAsia" w:ascii="仿宋" w:hAnsi="仿宋" w:eastAsia="仿宋" w:cs="仿宋"/>
              <w:bCs w:val="0"/>
              <w:sz w:val="24"/>
              <w:szCs w:val="24"/>
              <w:highlight w:val="none"/>
            </w:rPr>
            <w:t>般公共预算财政拨款项目支出决算表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_Toc6077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_Toc8880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w:t>
          </w:r>
          <w:r>
            <w:rPr>
              <w:rFonts w:hint="eastAsia" w:ascii="仿宋" w:hAnsi="仿宋" w:eastAsia="仿宋" w:cs="仿宋"/>
              <w:sz w:val="24"/>
              <w:szCs w:val="24"/>
              <w:highlight w:val="none"/>
            </w:rPr>
            <w:t>政</w:t>
          </w:r>
          <w:r>
            <w:rPr>
              <w:rFonts w:hint="eastAsia" w:ascii="仿宋" w:hAnsi="仿宋" w:eastAsia="仿宋" w:cs="仿宋"/>
              <w:bCs w:val="0"/>
              <w:sz w:val="24"/>
              <w:szCs w:val="24"/>
              <w:highlight w:val="none"/>
            </w:rPr>
            <w:t>府性基金预算财政拨款收入支出决算表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_Toc8880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_Toc23717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十一、</w:t>
          </w:r>
          <w:r>
            <w:rPr>
              <w:rFonts w:hint="eastAsia" w:ascii="仿宋" w:hAnsi="仿宋" w:eastAsia="仿宋" w:cs="仿宋"/>
              <w:sz w:val="24"/>
              <w:szCs w:val="24"/>
              <w:highlight w:val="none"/>
            </w:rPr>
            <w:t>国</w:t>
          </w:r>
          <w:r>
            <w:rPr>
              <w:rFonts w:hint="eastAsia" w:ascii="仿宋" w:hAnsi="仿宋" w:eastAsia="仿宋" w:cs="仿宋"/>
              <w:bCs w:val="0"/>
              <w:sz w:val="24"/>
              <w:szCs w:val="24"/>
              <w:highlight w:val="none"/>
            </w:rPr>
            <w:t>有资本经营预算</w:t>
          </w:r>
          <w:r>
            <w:rPr>
              <w:rFonts w:hint="eastAsia" w:ascii="仿宋" w:hAnsi="仿宋" w:eastAsia="仿宋" w:cs="仿宋"/>
              <w:bCs w:val="0"/>
              <w:sz w:val="24"/>
              <w:szCs w:val="24"/>
              <w:highlight w:val="none"/>
              <w:lang w:eastAsia="zh-CN"/>
            </w:rPr>
            <w:t>财政拨款收入</w:t>
          </w:r>
          <w:r>
            <w:rPr>
              <w:rFonts w:hint="eastAsia" w:ascii="仿宋" w:hAnsi="仿宋" w:eastAsia="仿宋" w:cs="仿宋"/>
              <w:bCs w:val="0"/>
              <w:sz w:val="24"/>
              <w:szCs w:val="24"/>
              <w:highlight w:val="none"/>
            </w:rPr>
            <w:t>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_Toc23717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_Toc31497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十二、</w:t>
          </w:r>
          <w:r>
            <w:rPr>
              <w:rFonts w:hint="eastAsia" w:ascii="仿宋" w:hAnsi="仿宋" w:eastAsia="仿宋" w:cs="仿宋"/>
              <w:bCs w:val="0"/>
              <w:sz w:val="24"/>
              <w:szCs w:val="24"/>
              <w:highlight w:val="none"/>
              <w:lang w:eastAsia="zh-CN"/>
            </w:rPr>
            <w:t>国有资本经营预算财政拨款支出决算表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_Toc31497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37"/>
            <w:tabs>
              <w:tab w:val="right" w:leader="dot" w:pos="8306"/>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_Toc25862 </w:instrText>
          </w:r>
          <w:r>
            <w:rPr>
              <w:rFonts w:hint="eastAsia" w:ascii="仿宋" w:hAnsi="仿宋" w:eastAsia="仿宋" w:cs="仿宋"/>
              <w:sz w:val="24"/>
              <w:szCs w:val="24"/>
            </w:rPr>
            <w:fldChar w:fldCharType="separate"/>
          </w:r>
          <w:r>
            <w:rPr>
              <w:rFonts w:hint="eastAsia" w:ascii="仿宋" w:hAnsi="仿宋" w:eastAsia="仿宋" w:cs="仿宋"/>
              <w:bCs w:val="0"/>
              <w:sz w:val="24"/>
              <w:szCs w:val="24"/>
              <w:highlight w:val="none"/>
            </w:rPr>
            <w:t>十三、</w:t>
          </w:r>
          <w:r>
            <w:rPr>
              <w:rFonts w:hint="eastAsia" w:ascii="仿宋" w:hAnsi="仿宋" w:eastAsia="仿宋" w:cs="仿宋"/>
              <w:bCs w:val="0"/>
              <w:sz w:val="24"/>
              <w:szCs w:val="24"/>
              <w:highlight w:val="none"/>
              <w:lang w:eastAsia="zh-CN"/>
            </w:rPr>
            <w:t>财政拨款“三公”经费支出决算表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_Toc25862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r>
            <w:rPr>
              <w:b/>
              <w:sz w:val="24"/>
              <w:szCs w:val="24"/>
            </w:rPr>
            <w:fldChar w:fldCharType="end"/>
          </w:r>
        </w:p>
      </w:sdtContent>
    </w:sdt>
    <w:p>
      <w:pPr>
        <w:pStyle w:val="3"/>
        <w:jc w:val="center"/>
        <w:rPr>
          <w:rFonts w:ascii="黑体" w:eastAsia="黑体"/>
          <w:color w:val="auto"/>
          <w:sz w:val="32"/>
          <w:szCs w:val="32"/>
          <w:highlight w:val="none"/>
        </w:rPr>
      </w:pPr>
      <w:bookmarkStart w:id="16" w:name="_Toc18520"/>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4"/>
      <w:bookmarkEnd w:id="15"/>
      <w:bookmarkEnd w:id="16"/>
    </w:p>
    <w:p>
      <w:pPr>
        <w:pStyle w:val="4"/>
        <w:pageBreakBefore w:val="0"/>
        <w:kinsoku/>
        <w:wordWrap/>
        <w:overflowPunct/>
        <w:topLinePunct w:val="0"/>
        <w:autoSpaceDE/>
        <w:autoSpaceDN/>
        <w:bidi w:val="0"/>
        <w:spacing w:line="520" w:lineRule="exact"/>
        <w:ind w:firstLine="640" w:firstLineChars="200"/>
        <w:textAlignment w:val="auto"/>
        <w:rPr>
          <w:rFonts w:hint="eastAsia" w:ascii="黑体" w:hAnsi="黑体" w:eastAsia="黑体"/>
          <w:b w:val="0"/>
          <w:color w:val="auto"/>
          <w:highlight w:val="none"/>
          <w:lang w:eastAsia="zh-CN"/>
        </w:rPr>
      </w:pPr>
      <w:bookmarkStart w:id="17" w:name="_Toc15377197"/>
      <w:bookmarkStart w:id="18" w:name="_Toc15396600"/>
      <w:bookmarkStart w:id="19" w:name="_Toc7397"/>
      <w:r>
        <w:rPr>
          <w:rFonts w:hint="eastAsia" w:ascii="黑体" w:hAnsi="黑体" w:eastAsia="黑体"/>
          <w:b w:val="0"/>
          <w:color w:val="auto"/>
          <w:highlight w:val="none"/>
        </w:rPr>
        <w:t>一、</w:t>
      </w:r>
      <w:bookmarkEnd w:id="17"/>
      <w:bookmarkEnd w:id="18"/>
      <w:r>
        <w:rPr>
          <w:rFonts w:hint="eastAsia" w:ascii="黑体" w:hAnsi="黑体" w:eastAsia="黑体"/>
          <w:b w:val="0"/>
          <w:color w:val="auto"/>
          <w:highlight w:val="none"/>
          <w:lang w:eastAsia="zh-CN"/>
        </w:rPr>
        <w:t>部门职责</w:t>
      </w:r>
      <w:bookmarkEnd w:id="19"/>
    </w:p>
    <w:p>
      <w:pPr>
        <w:pStyle w:val="28"/>
        <w:pageBreakBefore w:val="0"/>
        <w:kinsoku/>
        <w:wordWrap/>
        <w:overflowPunct/>
        <w:topLinePunct w:val="0"/>
        <w:autoSpaceDE/>
        <w:autoSpaceDN/>
        <w:bidi w:val="0"/>
        <w:spacing w:line="520" w:lineRule="exact"/>
        <w:ind w:firstLine="640"/>
        <w:textAlignment w:val="auto"/>
        <w:rPr>
          <w:rFonts w:ascii="仿宋_GB2312" w:hAnsi="仿宋_GB2312" w:eastAsia="仿宋_GB2312" w:cs="仿宋_GB2312"/>
          <w:sz w:val="32"/>
          <w:szCs w:val="32"/>
        </w:rPr>
      </w:pPr>
      <w:r>
        <w:rPr>
          <w:rFonts w:hint="eastAsia" w:ascii="仿宋_GB2312" w:hAnsi="仿宋" w:eastAsia="仿宋_GB2312"/>
          <w:sz w:val="32"/>
          <w:szCs w:val="32"/>
        </w:rPr>
        <w:t>1.</w:t>
      </w:r>
      <w:r>
        <w:rPr>
          <w:rFonts w:hint="eastAsia" w:ascii="仿宋_GB2312" w:hAnsi="仿宋_GB2312" w:eastAsia="仿宋_GB2312" w:cs="仿宋_GB2312"/>
          <w:sz w:val="32"/>
          <w:szCs w:val="32"/>
        </w:rPr>
        <w:t>负责全市市场综合监督管理作。贯彻执行国家和省市场监督管理的方针、政策和有关法律法规,拟订相关规范性文件和措施,，经批准后监督实施。组织实施质量强市、食品安全、标准化和知识产权战略,拟订并组织实施全市食品安全等规划,规范和维护市场秩序,营造诚实守信、公平竞争的市场环境。</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2.负责全市市场主体统一登记注册。负责和指导全市各类企业、农民专业合作社和从事经营活动的单位、个体工商户等市场主体的登记注册和监督管理工作。建立市场主体信息公示和共享机制,依法公示和共享有关信息,加强信用监管，推动市场主体信用体系建设。</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3.负责组织和指导全市市场监督管理综合执法工作。指导全市市场监管综合执法从伍整合和建设,推动实行统一的市场监管。组织查处和督办大案要案、疑难案件、跨区域案件。规范市场监督管理行政执达法行为。</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4.负责全市反垄断相关工作。统筹推进竞争政策实施,组织实施公平竞争审查制度根据省市场监督管理局委托，开展相关反垄断调查工作,指导本市企业在国外的反垄断应诉工作。</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5.负责监督管理全市市场秩序。依法监督管理市场交易、网络商品交易及有关服务的行为。组织指导查处价格收费违法违规、不正当竞争、违达法直销、传销、侵犯商标专利知识产权和制售假冒伪劣行为。指导广告业发展,监督管理广告活动。依法查处无照生产经营和相关无证生产经营行为。指导市保护消费者权益委员会开展消费维权工作。</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6.负责全市宏观质量管理。拟订并组织实施质量发展的制度措施。统筹全市质量基础设施建设与应用。会同有关部门组织实施重大工程设备质量监理制度,组织重大产品质量事故调查，贯彻实施缺陷产品召回制度,监督管理产品防伪工作。</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7.负责全市产品质量安全监督管理负责产品质量监督抽查和风险监控工作,组织实施质量分级制度、质量安全追溯制度。负责本区域内工业产品生产许可证监督管理。负责纤维质量监督工作。</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8.负责全市特种设备安全监督管理。综合管理特种设备安全监察、监督工作,监督检查高耗能特种设备节能标准和锅炉产品环境保护标准的执行情况。</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9.负责全市食品安全监督管理综合协调。统筹指导全市食品安全作。负责食品安全应急体系建设,依法组织、指导全市食品安全事件应急处置和调查处理作。落实食品安全重要信息直报制度。承担市食品安全委员会日常工作。</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10.负责全市食品安全监督管理。建立覆盖食品生产、流通、消费全过程的监督检查制度和隐患排查治理机制并组织实施,防范区域性、系统性食品安全风险。推动建立食品生产经营者落实主体责任机制,指导督促食品安全追溯体系建设。指导督促食品生产经营企业的安全生产工作,组织开展食品安全监督抽检、风险监测、核查处置和风险预警、风险交流工作。组织实施特殊食品的监督管理。</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11.负责统一管理全市计量工作。推行国家法定计量单位,执行国家计量制度,管理计量器具及量值传递和比对工作。 规范、监督商品量和计量行为。</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12.负责统一管理全市标准化工作。依法承担草拟区域 性地方标准及区域性地方标准统一计划、统一编号、统一发布等工作和团体标准的管理工作。依法协调指导区县地方标准、团体标准制定工作。依法组织地方标准的贯彻实施和实施情况进行监督检查。</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13.负责统一管理全市检验检测作。规范检验检测市场,完善检验检测体系,指导协调检验检测行业发展。</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14.负责统一管理全市认证认可工作。监督管理认证认 可和合格评定工作。</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15.负责市场监督管理科技和信息化建设、新闻宣传。</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16.负责知识产权保护,负责组织指导商标、专利执法工作。</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17.负责促进全市民营经济发展。负责全市民营经济发展工作的任务制定、调查研究、统筹协调、督促落实及民营企业合法权益维护。在市委组织部指导下,指导全市市场监督管理部门配合党委组织部门开展小微企业、个体工商户、专业市场的党建工作。</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18.负责贯彻落实执行国家、省有关药品(含中药、民族药,下同)、医疗器械和化妆品监督管理的方针政策和法律法规。负责药品零售、医疗器械经营的安全监测、许可、检查和处罚,以及化妆品经营和药品、医疗器械使用环节质量的安全监测、检查和处罚,参与省药监局组织的监督检查。指导县区药品、医疗器械和化妆品监督管理工作。</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19.贯彻落实国家、省、市食品医药产业发展有关政策,承担牵头组织实施生物医药发展工作,配合有关部门推动道地药材、食品饮料发展。</w:t>
      </w:r>
    </w:p>
    <w:p>
      <w:pPr>
        <w:pageBreakBefore w:val="0"/>
        <w:kinsoku/>
        <w:wordWrap/>
        <w:overflowPunct/>
        <w:topLinePunct w:val="0"/>
        <w:autoSpaceDE/>
        <w:autoSpaceDN/>
        <w:bidi w:val="0"/>
        <w:spacing w:line="52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20.负责职责范围内的安全生产和职业健康、生态环境 保护审批服务便民化等工作。</w:t>
      </w:r>
    </w:p>
    <w:p>
      <w:pPr>
        <w:pageBreakBefore w:val="0"/>
        <w:kinsoku/>
        <w:wordWrap/>
        <w:overflowPunct/>
        <w:topLinePunct w:val="0"/>
        <w:autoSpaceDE/>
        <w:autoSpaceDN/>
        <w:bidi w:val="0"/>
        <w:spacing w:line="520" w:lineRule="exact"/>
        <w:textAlignment w:val="auto"/>
        <w:rPr>
          <w:rFonts w:hint="eastAsia"/>
          <w:lang w:eastAsia="zh-CN"/>
        </w:rPr>
      </w:pPr>
      <w:r>
        <w:rPr>
          <w:rFonts w:hint="eastAsia" w:ascii="仿宋_GB2312" w:hAnsi="仿宋_GB2312" w:eastAsia="仿宋_GB2312" w:cs="仿宋_GB2312"/>
          <w:sz w:val="32"/>
          <w:szCs w:val="32"/>
        </w:rPr>
        <w:t>　　21.完成市委、市政府交办的其他任务。</w:t>
      </w:r>
    </w:p>
    <w:p>
      <w:pPr>
        <w:pStyle w:val="4"/>
        <w:pageBreakBefore w:val="0"/>
        <w:kinsoku/>
        <w:wordWrap/>
        <w:overflowPunct/>
        <w:topLinePunct w:val="0"/>
        <w:autoSpaceDE/>
        <w:autoSpaceDN/>
        <w:bidi w:val="0"/>
        <w:spacing w:line="520" w:lineRule="exact"/>
        <w:ind w:firstLine="640" w:firstLineChars="200"/>
        <w:textAlignment w:val="auto"/>
        <w:rPr>
          <w:rStyle w:val="30"/>
          <w:b w:val="0"/>
          <w:bCs w:val="0"/>
          <w:color w:val="auto"/>
          <w:highlight w:val="none"/>
        </w:rPr>
      </w:pPr>
      <w:bookmarkStart w:id="20" w:name="_Toc30462"/>
      <w:bookmarkStart w:id="21" w:name="_Toc15396601"/>
      <w:bookmarkStart w:id="22"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20"/>
      <w:bookmarkEnd w:id="21"/>
      <w:bookmarkEnd w:id="22"/>
    </w:p>
    <w:p>
      <w:pPr>
        <w:pageBreakBefore w:val="0"/>
        <w:kinsoku/>
        <w:wordWrap/>
        <w:overflowPunct/>
        <w:topLinePunct w:val="0"/>
        <w:autoSpaceDE/>
        <w:autoSpaceDN/>
        <w:bidi w:val="0"/>
        <w:spacing w:line="52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巴中市市场监督管理局部门</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个，参照公务员法管理的事业单位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个。</w:t>
      </w:r>
    </w:p>
    <w:p>
      <w:pPr>
        <w:pStyle w:val="2"/>
        <w:pageBreakBefore w:val="0"/>
        <w:kinsoku/>
        <w:wordWrap/>
        <w:overflowPunct/>
        <w:topLinePunct w:val="0"/>
        <w:autoSpaceDE/>
        <w:autoSpaceDN/>
        <w:bidi w:val="0"/>
        <w:adjustRightInd w:val="0"/>
        <w:snapToGrid w:val="0"/>
        <w:spacing w:before="93" w:line="520" w:lineRule="exact"/>
        <w:ind w:firstLine="672" w:firstLineChars="21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巴中市市场监督管理局</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年度部门决算编制范围的二级预算单位包括：</w:t>
      </w:r>
    </w:p>
    <w:p>
      <w:pPr>
        <w:pStyle w:val="2"/>
        <w:pageBreakBefore w:val="0"/>
        <w:numPr>
          <w:ilvl w:val="0"/>
          <w:numId w:val="1"/>
        </w:numPr>
        <w:kinsoku/>
        <w:wordWrap/>
        <w:overflowPunct/>
        <w:topLinePunct w:val="0"/>
        <w:autoSpaceDE/>
        <w:autoSpaceDN/>
        <w:bidi w:val="0"/>
        <w:adjustRightInd w:val="0"/>
        <w:snapToGrid w:val="0"/>
        <w:spacing w:before="93" w:line="520" w:lineRule="exact"/>
        <w:textAlignment w:val="auto"/>
        <w:outlineLvl w:val="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巴中市计量检定测试所</w:t>
      </w:r>
    </w:p>
    <w:p>
      <w:pPr>
        <w:pStyle w:val="2"/>
        <w:pageBreakBefore w:val="0"/>
        <w:numPr>
          <w:ilvl w:val="0"/>
          <w:numId w:val="1"/>
        </w:numPr>
        <w:kinsoku/>
        <w:wordWrap/>
        <w:overflowPunct/>
        <w:topLinePunct w:val="0"/>
        <w:autoSpaceDE/>
        <w:autoSpaceDN/>
        <w:bidi w:val="0"/>
        <w:adjustRightInd w:val="0"/>
        <w:snapToGrid w:val="0"/>
        <w:spacing w:before="93" w:line="520" w:lineRule="exact"/>
        <w:textAlignment w:val="auto"/>
        <w:outlineLvl w:val="2"/>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巴中市特种设备监督检验所</w:t>
      </w:r>
    </w:p>
    <w:p>
      <w:pPr>
        <w:pStyle w:val="2"/>
        <w:pageBreakBefore w:val="0"/>
        <w:numPr>
          <w:ilvl w:val="0"/>
          <w:numId w:val="1"/>
        </w:numPr>
        <w:kinsoku/>
        <w:wordWrap/>
        <w:overflowPunct/>
        <w:topLinePunct w:val="0"/>
        <w:autoSpaceDE/>
        <w:autoSpaceDN/>
        <w:bidi w:val="0"/>
        <w:adjustRightInd w:val="0"/>
        <w:snapToGrid w:val="0"/>
        <w:spacing w:before="93" w:line="520" w:lineRule="exact"/>
        <w:textAlignment w:val="auto"/>
        <w:outlineLvl w:val="2"/>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巴中市市场监管综合行政执法支队</w:t>
      </w:r>
    </w:p>
    <w:p>
      <w:pPr>
        <w:pStyle w:val="2"/>
        <w:pageBreakBefore w:val="0"/>
        <w:numPr>
          <w:ilvl w:val="0"/>
          <w:numId w:val="1"/>
        </w:numPr>
        <w:kinsoku/>
        <w:wordWrap/>
        <w:overflowPunct/>
        <w:topLinePunct w:val="0"/>
        <w:autoSpaceDE/>
        <w:autoSpaceDN/>
        <w:bidi w:val="0"/>
        <w:adjustRightInd w:val="0"/>
        <w:snapToGrid w:val="0"/>
        <w:spacing w:before="93" w:line="520" w:lineRule="exact"/>
        <w:ind w:left="1152" w:leftChars="0" w:hanging="480" w:firstLineChars="0"/>
        <w:textAlignment w:val="auto"/>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巴中市市场监督管理局经济开发区分局</w:t>
      </w:r>
    </w:p>
    <w:p>
      <w:pPr>
        <w:pageBreakBefore w:val="0"/>
        <w:widowControl/>
        <w:kinsoku/>
        <w:wordWrap/>
        <w:overflowPunct/>
        <w:topLinePunct w:val="0"/>
        <w:autoSpaceDE/>
        <w:autoSpaceDN/>
        <w:bidi w:val="0"/>
        <w:spacing w:line="520"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9"/>
          <w:rFonts w:ascii="黑体" w:hAnsi="黑体" w:eastAsia="黑体"/>
          <w:b w:val="0"/>
          <w:bCs/>
          <w:color w:val="auto"/>
          <w:highlight w:val="none"/>
        </w:rPr>
      </w:pPr>
      <w:bookmarkStart w:id="23" w:name="_Toc15377204"/>
      <w:bookmarkStart w:id="24" w:name="_Toc15396602"/>
      <w:bookmarkStart w:id="25" w:name="_Toc13386"/>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9"/>
          <w:rFonts w:hint="eastAsia" w:ascii="黑体" w:hAnsi="黑体" w:eastAsia="黑体"/>
          <w:b w:val="0"/>
          <w:bCs/>
          <w:color w:val="auto"/>
          <w:highlight w:val="none"/>
        </w:rPr>
        <w:t>部门决算情况说明</w:t>
      </w:r>
      <w:bookmarkEnd w:id="23"/>
      <w:bookmarkEnd w:id="24"/>
      <w:bookmarkEnd w:id="25"/>
    </w:p>
    <w:p>
      <w:pPr>
        <w:rPr>
          <w:color w:val="auto"/>
          <w:highlight w:val="none"/>
        </w:rPr>
      </w:pP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26" w:name="_Toc15377205"/>
      <w:bookmarkStart w:id="27" w:name="_Toc15396603"/>
      <w:bookmarkStart w:id="28" w:name="_Toc30653"/>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26"/>
      <w:bookmarkEnd w:id="27"/>
      <w:bookmarkEnd w:id="28"/>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13710.96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314.81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4.40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_GB2312" w:hAnsi="仿宋_GB2312" w:eastAsia="仿宋_GB2312" w:cs="仿宋_GB2312"/>
          <w:sz w:val="32"/>
          <w:szCs w:val="32"/>
        </w:rPr>
        <w:t>主要变动原因是严格支出事项，进一步提高了财政资金使用绩效</w:t>
      </w:r>
      <w:r>
        <w:rPr>
          <w:rFonts w:hint="eastAsia" w:ascii="仿宋" w:hAnsi="仿宋" w:eastAsia="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eastAsia="仿宋_GB2312"/>
          <w:color w:val="auto"/>
          <w:sz w:val="32"/>
          <w:szCs w:val="32"/>
          <w:highlight w:val="none"/>
        </w:rPr>
      </w:pPr>
      <w:r>
        <w:rPr>
          <w:rFonts w:hint="eastAsia" w:eastAsia="宋体"/>
          <w:color w:val="auto"/>
          <w:highlight w:val="none"/>
          <w:lang w:eastAsia="zh-CN"/>
        </w:rPr>
        <w:drawing>
          <wp:inline distT="0" distB="0" distL="114300" distR="114300">
            <wp:extent cx="5256530" cy="2988310"/>
            <wp:effectExtent l="5080" t="4445" r="15240" b="171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29" w:name="_Toc15396604"/>
      <w:bookmarkStart w:id="30" w:name="_Toc25008"/>
      <w:bookmarkStart w:id="31" w:name="_Toc15377206"/>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29"/>
      <w:bookmarkEnd w:id="30"/>
      <w:bookmarkEnd w:id="31"/>
    </w:p>
    <w:p>
      <w:pPr>
        <w:spacing w:line="600" w:lineRule="exact"/>
        <w:ind w:firstLine="640" w:firstLineChars="200"/>
        <w:outlineLvl w:val="1"/>
        <w:rPr>
          <w:rFonts w:ascii="仿宋" w:hAnsi="仿宋" w:eastAsia="仿宋"/>
          <w:color w:val="auto"/>
          <w:sz w:val="32"/>
          <w:szCs w:val="32"/>
          <w:highlight w:val="none"/>
        </w:rPr>
      </w:pPr>
      <w:bookmarkStart w:id="32" w:name="_Toc470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5919.37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5919.37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2"/>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rPr>
        <w:drawing>
          <wp:inline distT="0" distB="0" distL="114300" distR="114300">
            <wp:extent cx="5256530" cy="2988310"/>
            <wp:effectExtent l="5080" t="4445" r="15240" b="1714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hint="eastAsia" w:ascii="仿宋" w:hAnsi="仿宋" w:eastAsia="仿宋"/>
          <w:color w:val="auto"/>
          <w:sz w:val="32"/>
          <w:szCs w:val="32"/>
          <w:highlight w:val="none"/>
        </w:rPr>
        <w:t>（图2：收入决算结构图）（饼状图）</w:t>
      </w: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33" w:name="_Toc15377207"/>
      <w:bookmarkStart w:id="34" w:name="_Toc834"/>
      <w:bookmarkStart w:id="35" w:name="_Toc15396605"/>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33"/>
      <w:bookmarkEnd w:id="34"/>
      <w:bookmarkEnd w:id="35"/>
    </w:p>
    <w:p>
      <w:pPr>
        <w:spacing w:line="600" w:lineRule="exact"/>
        <w:ind w:firstLine="640" w:firstLineChars="200"/>
        <w:outlineLvl w:val="1"/>
        <w:rPr>
          <w:rFonts w:ascii="仿宋" w:hAnsi="仿宋" w:eastAsia="仿宋"/>
          <w:color w:val="auto"/>
          <w:sz w:val="32"/>
          <w:szCs w:val="32"/>
          <w:highlight w:val="none"/>
          <w:shd w:val="pct10" w:color="auto" w:fill="FFFFFF"/>
        </w:rPr>
      </w:pPr>
      <w:bookmarkStart w:id="36" w:name="_Toc10582"/>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6603.24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5124.17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77.60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1479.07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22.40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6"/>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drawing>
          <wp:inline distT="0" distB="0" distL="114300" distR="114300">
            <wp:extent cx="5256530" cy="2988310"/>
            <wp:effectExtent l="5080" t="4445" r="15240" b="1714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30"/>
          <w:rFonts w:ascii="黑体" w:hAnsi="黑体" w:eastAsia="黑体"/>
          <w:b w:val="0"/>
          <w:color w:val="auto"/>
          <w:highlight w:val="none"/>
        </w:rPr>
      </w:pPr>
      <w:bookmarkStart w:id="37" w:name="_Toc15396606"/>
      <w:bookmarkStart w:id="38" w:name="_Toc15377208"/>
      <w:bookmarkStart w:id="39" w:name="_Toc11972"/>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37"/>
      <w:bookmarkEnd w:id="38"/>
      <w:bookmarkEnd w:id="39"/>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13710.96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314.81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下降</w:t>
      </w:r>
      <w:r>
        <w:rPr>
          <w:rFonts w:hint="eastAsia" w:ascii="仿宋" w:hAnsi="仿宋" w:eastAsia="仿宋"/>
          <w:color w:val="auto"/>
          <w:sz w:val="32"/>
          <w:szCs w:val="32"/>
          <w:highlight w:val="none"/>
          <w:lang w:val="en-US" w:eastAsia="zh-CN"/>
        </w:rPr>
        <w:t>4.40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_GB2312" w:eastAsia="仿宋_GB2312" w:cs="仿宋_GB2312"/>
          <w:sz w:val="32"/>
          <w:szCs w:val="32"/>
        </w:rPr>
        <w:t>严格支出事项，进一步提高了财政资金使用绩效</w:t>
      </w:r>
      <w:r>
        <w:rPr>
          <w:rFonts w:hint="eastAsia" w:ascii="仿宋" w:hAnsi="仿宋" w:eastAsia="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b/>
          <w:color w:val="auto"/>
          <w:sz w:val="32"/>
          <w:szCs w:val="32"/>
          <w:highlight w:val="none"/>
        </w:rPr>
      </w:pPr>
      <w:r>
        <w:rPr>
          <w:rFonts w:hint="eastAsia" w:eastAsia="宋体"/>
          <w:color w:val="auto"/>
          <w:highlight w:val="none"/>
          <w:lang w:eastAsia="zh-CN"/>
        </w:rPr>
        <w:drawing>
          <wp:inline distT="0" distB="0" distL="114300" distR="114300">
            <wp:extent cx="5256530" cy="2988310"/>
            <wp:effectExtent l="5080" t="4445" r="15240" b="1714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30"/>
          <w:rFonts w:ascii="黑体" w:hAnsi="黑体" w:eastAsia="黑体"/>
          <w:b w:val="0"/>
          <w:color w:val="auto"/>
          <w:highlight w:val="none"/>
        </w:rPr>
      </w:pPr>
      <w:bookmarkStart w:id="40" w:name="_Toc6906"/>
      <w:bookmarkStart w:id="41" w:name="_Toc15377209"/>
      <w:bookmarkStart w:id="42"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40"/>
      <w:bookmarkEnd w:id="41"/>
      <w:bookmarkEnd w:id="42"/>
    </w:p>
    <w:p>
      <w:pPr>
        <w:spacing w:line="600" w:lineRule="exact"/>
        <w:ind w:firstLine="642" w:firstLineChars="200"/>
        <w:outlineLvl w:val="2"/>
        <w:rPr>
          <w:rFonts w:ascii="仿宋" w:hAnsi="仿宋" w:eastAsia="仿宋"/>
          <w:b/>
          <w:color w:val="auto"/>
          <w:sz w:val="32"/>
          <w:szCs w:val="32"/>
          <w:highlight w:val="none"/>
        </w:rPr>
      </w:pPr>
      <w:bookmarkStart w:id="43" w:name="_Toc15377210"/>
      <w:r>
        <w:rPr>
          <w:rFonts w:hint="eastAsia" w:ascii="仿宋" w:hAnsi="仿宋" w:eastAsia="仿宋"/>
          <w:b/>
          <w:color w:val="auto"/>
          <w:sz w:val="32"/>
          <w:szCs w:val="32"/>
          <w:highlight w:val="none"/>
        </w:rPr>
        <w:t>（一）一般公共预算财政拨款支出决算总体情况</w:t>
      </w:r>
      <w:bookmarkEnd w:id="43"/>
    </w:p>
    <w:p>
      <w:pPr>
        <w:spacing w:line="600" w:lineRule="exact"/>
        <w:ind w:firstLine="640" w:firstLineChars="200"/>
        <w:rPr>
          <w:rFonts w:hint="eastAsia" w:ascii="仿宋" w:hAnsi="仿宋" w:eastAsia="仿宋_GB2312"/>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6603.24</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支出增加</w:t>
      </w:r>
      <w:r>
        <w:rPr>
          <w:rFonts w:hint="eastAsia" w:ascii="仿宋" w:hAnsi="仿宋" w:eastAsia="仿宋"/>
          <w:color w:val="auto"/>
          <w:sz w:val="32"/>
          <w:szCs w:val="32"/>
          <w:highlight w:val="none"/>
          <w:lang w:val="en-US" w:eastAsia="zh-CN"/>
        </w:rPr>
        <w:t>750.75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12.83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_GB2312" w:eastAsia="仿宋_GB2312" w:cs="仿宋_GB2312"/>
          <w:sz w:val="32"/>
          <w:szCs w:val="32"/>
        </w:rPr>
        <w:t>本年度职工绩效奖金改革、住房公积金缴存基数变动、正常的人员晋级晋档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drawing>
          <wp:inline distT="0" distB="0" distL="114300" distR="114300">
            <wp:extent cx="5256530" cy="2988310"/>
            <wp:effectExtent l="5080" t="4445" r="15240" b="1714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hint="eastAsia" w:ascii="仿宋" w:hAnsi="仿宋" w:eastAsia="仿宋"/>
          <w:color w:val="auto"/>
          <w:sz w:val="32"/>
          <w:szCs w:val="32"/>
          <w:highlight w:val="none"/>
        </w:rPr>
        <w:t>（图5：一般公共预算财政拨款支出决算变动情况）（柱状图）</w:t>
      </w:r>
    </w:p>
    <w:p>
      <w:pPr>
        <w:spacing w:line="600" w:lineRule="exact"/>
        <w:ind w:firstLine="642" w:firstLineChars="200"/>
        <w:outlineLvl w:val="2"/>
        <w:rPr>
          <w:rFonts w:ascii="仿宋" w:hAnsi="仿宋" w:eastAsia="仿宋"/>
          <w:b/>
          <w:color w:val="auto"/>
          <w:sz w:val="32"/>
          <w:szCs w:val="32"/>
          <w:highlight w:val="none"/>
        </w:rPr>
      </w:pPr>
      <w:bookmarkStart w:id="44" w:name="_Toc15377211"/>
      <w:r>
        <w:rPr>
          <w:rFonts w:hint="eastAsia" w:ascii="仿宋" w:hAnsi="仿宋" w:eastAsia="仿宋"/>
          <w:b/>
          <w:color w:val="auto"/>
          <w:sz w:val="32"/>
          <w:szCs w:val="32"/>
          <w:highlight w:val="none"/>
        </w:rPr>
        <w:t>（二）一般公共预算财政拨款支出决算结构情况</w:t>
      </w:r>
      <w:bookmarkEnd w:id="4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6603.24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color w:val="auto"/>
          <w:sz w:val="32"/>
          <w:szCs w:val="32"/>
          <w:highlight w:val="none"/>
        </w:rPr>
        <w:t>一般公共服务支出</w:t>
      </w:r>
      <w:r>
        <w:rPr>
          <w:rFonts w:hint="eastAsia" w:ascii="仿宋" w:hAnsi="仿宋" w:eastAsia="仿宋"/>
          <w:color w:val="auto"/>
          <w:sz w:val="32"/>
          <w:szCs w:val="32"/>
          <w:highlight w:val="none"/>
          <w:lang w:val="en-US" w:eastAsia="zh-CN"/>
        </w:rPr>
        <w:t>5634.09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85.32</w:t>
      </w:r>
      <w:r>
        <w:rPr>
          <w:rFonts w:hint="eastAsia" w:ascii="仿宋" w:hAnsi="仿宋" w:eastAsia="仿宋"/>
          <w:color w:val="auto"/>
          <w:sz w:val="32"/>
          <w:szCs w:val="32"/>
          <w:highlight w:val="none"/>
        </w:rPr>
        <w:t>%；教育支出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%；科学技术支出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%；文化旅游体育与传媒支出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%；社会保障和就业支出</w:t>
      </w:r>
      <w:r>
        <w:rPr>
          <w:rFonts w:hint="eastAsia" w:ascii="仿宋" w:hAnsi="仿宋" w:eastAsia="仿宋"/>
          <w:color w:val="auto"/>
          <w:sz w:val="32"/>
          <w:szCs w:val="32"/>
          <w:highlight w:val="none"/>
          <w:lang w:val="en-US" w:eastAsia="zh-CN"/>
        </w:rPr>
        <w:t>406.38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6.15</w:t>
      </w:r>
      <w:r>
        <w:rPr>
          <w:rFonts w:hint="eastAsia" w:ascii="仿宋" w:hAnsi="仿宋" w:eastAsia="仿宋"/>
          <w:color w:val="auto"/>
          <w:sz w:val="32"/>
          <w:szCs w:val="32"/>
          <w:highlight w:val="none"/>
        </w:rPr>
        <w:t>%；卫生健康支出</w:t>
      </w:r>
      <w:r>
        <w:rPr>
          <w:rFonts w:hint="eastAsia" w:ascii="仿宋" w:hAnsi="仿宋" w:eastAsia="仿宋"/>
          <w:color w:val="auto"/>
          <w:sz w:val="32"/>
          <w:szCs w:val="32"/>
          <w:highlight w:val="none"/>
          <w:lang w:val="en-US" w:eastAsia="zh-CN"/>
        </w:rPr>
        <w:t>202.23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3.07</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360.54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5.46</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drawing>
          <wp:inline distT="0" distB="0" distL="114300" distR="114300">
            <wp:extent cx="5256530" cy="2988310"/>
            <wp:effectExtent l="5080" t="4445" r="15240" b="1714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hint="eastAsia" w:ascii="仿宋" w:hAnsi="仿宋" w:eastAsia="仿宋"/>
          <w:color w:val="auto"/>
          <w:sz w:val="32"/>
          <w:szCs w:val="32"/>
          <w:highlight w:val="none"/>
        </w:rPr>
        <w:t>（图6：一般公共预算财政拨款支出决算结构）（饼状图）</w:t>
      </w:r>
    </w:p>
    <w:p>
      <w:pPr>
        <w:spacing w:line="600" w:lineRule="exact"/>
        <w:ind w:firstLine="642" w:firstLineChars="200"/>
        <w:outlineLvl w:val="2"/>
        <w:rPr>
          <w:rFonts w:ascii="仿宋" w:hAnsi="仿宋" w:eastAsia="仿宋"/>
          <w:b/>
          <w:color w:val="auto"/>
          <w:sz w:val="32"/>
          <w:szCs w:val="32"/>
          <w:highlight w:val="none"/>
        </w:rPr>
      </w:pPr>
      <w:bookmarkStart w:id="45" w:name="_Toc15377212"/>
      <w:r>
        <w:rPr>
          <w:rFonts w:hint="eastAsia" w:ascii="仿宋" w:hAnsi="仿宋" w:eastAsia="仿宋"/>
          <w:b/>
          <w:color w:val="auto"/>
          <w:sz w:val="32"/>
          <w:szCs w:val="32"/>
          <w:highlight w:val="none"/>
        </w:rPr>
        <w:t>（三）一般公共预算财政拨款支出决算具体情况</w:t>
      </w:r>
      <w:bookmarkEnd w:id="45"/>
    </w:p>
    <w:p>
      <w:pPr>
        <w:spacing w:line="600" w:lineRule="exact"/>
        <w:ind w:firstLine="642" w:firstLineChars="200"/>
        <w:outlineLvl w:val="1"/>
        <w:rPr>
          <w:rFonts w:ascii="仿宋" w:hAnsi="仿宋" w:eastAsia="仿宋"/>
          <w:color w:val="auto"/>
          <w:sz w:val="32"/>
          <w:szCs w:val="32"/>
          <w:highlight w:val="none"/>
        </w:rPr>
      </w:pPr>
      <w:bookmarkStart w:id="46" w:name="_Toc15378460"/>
      <w:bookmarkStart w:id="47" w:name="_Toc31347"/>
      <w:bookmarkStart w:id="48" w:name="_Toc15377213"/>
      <w:bookmarkStart w:id="49"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6603.24万元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96.32</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46"/>
      <w:bookmarkEnd w:id="47"/>
      <w:bookmarkEnd w:id="48"/>
      <w:bookmarkEnd w:id="49"/>
    </w:p>
    <w:p>
      <w:pPr>
        <w:spacing w:line="600" w:lineRule="exact"/>
        <w:ind w:firstLine="642"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1.</w:t>
      </w:r>
      <w:r>
        <w:rPr>
          <w:rStyle w:val="17"/>
          <w:rFonts w:hint="eastAsia" w:ascii="仿宋" w:hAnsi="仿宋" w:eastAsia="仿宋"/>
          <w:bCs/>
          <w:color w:val="auto"/>
          <w:sz w:val="32"/>
          <w:szCs w:val="32"/>
          <w:highlight w:val="none"/>
        </w:rPr>
        <w:t>一般公共服</w:t>
      </w:r>
      <w:r>
        <w:rPr>
          <w:rStyle w:val="17"/>
          <w:rFonts w:hint="eastAsia" w:ascii="仿宋" w:hAnsi="仿宋" w:eastAsia="仿宋"/>
          <w:bCs/>
          <w:color w:val="auto"/>
          <w:sz w:val="32"/>
          <w:szCs w:val="32"/>
          <w:highlight w:val="none"/>
          <w:lang w:eastAsia="zh-CN"/>
        </w:rPr>
        <w:t>务支出</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lang w:eastAsia="zh-CN"/>
        </w:rPr>
        <w:t>一般公共服务事业运行支出决算为</w:t>
      </w:r>
      <w:r>
        <w:rPr>
          <w:rStyle w:val="17"/>
          <w:rFonts w:hint="eastAsia" w:ascii="仿宋" w:hAnsi="仿宋" w:eastAsia="仿宋"/>
          <w:b w:val="0"/>
          <w:bCs/>
          <w:color w:val="auto"/>
          <w:sz w:val="32"/>
          <w:szCs w:val="32"/>
          <w:highlight w:val="none"/>
          <w:lang w:val="en-US" w:eastAsia="zh-CN"/>
        </w:rPr>
        <w:t>157.71</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；一般公共服务纪检监察事务派驻派出机构支出决算为</w:t>
      </w:r>
      <w:r>
        <w:rPr>
          <w:rStyle w:val="17"/>
          <w:rFonts w:hint="eastAsia" w:ascii="仿宋" w:hAnsi="仿宋" w:eastAsia="仿宋"/>
          <w:b w:val="0"/>
          <w:bCs/>
          <w:color w:val="auto"/>
          <w:sz w:val="32"/>
          <w:szCs w:val="32"/>
          <w:highlight w:val="none"/>
          <w:lang w:val="en-US" w:eastAsia="zh-CN"/>
        </w:rPr>
        <w:t>6.57万元，完成预算100%；一般公务服务纪检监察事务事业运行支出决算为0.47万元，完成预算100%；一般公共服务知识产权事务知识产权战略和规划支出决算为1.00万元，完成预算100%；一般公共服务市场监督管理事务支出决算为5468.81万元，完成预算90.22%</w:t>
      </w:r>
      <w:r>
        <w:rPr>
          <w:rStyle w:val="17"/>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2.</w:t>
      </w:r>
      <w:r>
        <w:rPr>
          <w:rStyle w:val="17"/>
          <w:rFonts w:hint="eastAsia" w:ascii="仿宋" w:hAnsi="仿宋" w:eastAsia="仿宋"/>
          <w:bCs/>
          <w:color w:val="auto"/>
          <w:sz w:val="32"/>
          <w:szCs w:val="32"/>
          <w:highlight w:val="none"/>
        </w:rPr>
        <w:t>教育</w:t>
      </w:r>
      <w:r>
        <w:rPr>
          <w:rStyle w:val="17"/>
          <w:rFonts w:hint="eastAsia" w:ascii="仿宋" w:hAnsi="仿宋" w:eastAsia="仿宋"/>
          <w:bCs/>
          <w:color w:val="auto"/>
          <w:sz w:val="32"/>
          <w:szCs w:val="32"/>
          <w:highlight w:val="none"/>
          <w:lang w:eastAsia="zh-CN"/>
        </w:rPr>
        <w:t>支出</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3.</w:t>
      </w:r>
      <w:r>
        <w:rPr>
          <w:rStyle w:val="17"/>
          <w:rFonts w:hint="eastAsia" w:ascii="仿宋" w:hAnsi="仿宋" w:eastAsia="仿宋"/>
          <w:bCs/>
          <w:color w:val="auto"/>
          <w:sz w:val="32"/>
          <w:szCs w:val="32"/>
          <w:highlight w:val="none"/>
        </w:rPr>
        <w:t>科学技术</w:t>
      </w:r>
      <w:r>
        <w:rPr>
          <w:rStyle w:val="17"/>
          <w:rFonts w:hint="eastAsia" w:ascii="仿宋" w:hAnsi="仿宋" w:eastAsia="仿宋"/>
          <w:bCs/>
          <w:color w:val="auto"/>
          <w:sz w:val="32"/>
          <w:szCs w:val="32"/>
          <w:highlight w:val="none"/>
          <w:lang w:eastAsia="zh-CN"/>
        </w:rPr>
        <w:t>支出</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4.</w:t>
      </w:r>
      <w:r>
        <w:rPr>
          <w:rStyle w:val="17"/>
          <w:rFonts w:hint="eastAsia" w:ascii="仿宋" w:hAnsi="仿宋" w:eastAsia="仿宋"/>
          <w:bCs/>
          <w:color w:val="auto"/>
          <w:sz w:val="32"/>
          <w:szCs w:val="32"/>
          <w:highlight w:val="none"/>
        </w:rPr>
        <w:t>文化旅游体育与传媒</w:t>
      </w:r>
      <w:r>
        <w:rPr>
          <w:rStyle w:val="17"/>
          <w:rFonts w:hint="eastAsia" w:ascii="仿宋" w:hAnsi="仿宋" w:eastAsia="仿宋"/>
          <w:bCs/>
          <w:color w:val="auto"/>
          <w:sz w:val="32"/>
          <w:szCs w:val="32"/>
          <w:highlight w:val="none"/>
          <w:lang w:eastAsia="zh-CN"/>
        </w:rPr>
        <w:t>支出</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7"/>
          <w:rFonts w:ascii="仿宋" w:hAnsi="仿宋" w:eastAsia="仿宋"/>
          <w:bCs/>
          <w:color w:val="auto"/>
          <w:sz w:val="32"/>
          <w:szCs w:val="32"/>
          <w:highlight w:val="none"/>
        </w:rPr>
        <w:t>5.</w:t>
      </w:r>
      <w:r>
        <w:rPr>
          <w:rStyle w:val="17"/>
          <w:rFonts w:hint="eastAsia" w:ascii="仿宋" w:hAnsi="仿宋" w:eastAsia="仿宋"/>
          <w:bCs/>
          <w:color w:val="auto"/>
          <w:sz w:val="32"/>
          <w:szCs w:val="32"/>
          <w:highlight w:val="none"/>
        </w:rPr>
        <w:t>社会保障和就</w:t>
      </w:r>
      <w:r>
        <w:rPr>
          <w:rStyle w:val="17"/>
          <w:rFonts w:hint="eastAsia" w:ascii="仿宋" w:hAnsi="仿宋" w:eastAsia="仿宋"/>
          <w:bCs/>
          <w:color w:val="auto"/>
          <w:sz w:val="32"/>
          <w:szCs w:val="32"/>
          <w:highlight w:val="none"/>
          <w:lang w:eastAsia="zh-CN"/>
        </w:rPr>
        <w:t>业支出</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lang w:eastAsia="zh-CN"/>
        </w:rPr>
        <w:t>社会保障和就业行政事业单位养老行政单位离退休</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107.68</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；社会保障和就业行政事业单位养老事业单位离退休支出决算为</w:t>
      </w:r>
      <w:r>
        <w:rPr>
          <w:rStyle w:val="17"/>
          <w:rFonts w:hint="eastAsia" w:ascii="仿宋" w:hAnsi="仿宋" w:eastAsia="仿宋"/>
          <w:b w:val="0"/>
          <w:bCs/>
          <w:color w:val="auto"/>
          <w:sz w:val="32"/>
          <w:szCs w:val="32"/>
          <w:highlight w:val="none"/>
          <w:lang w:val="en-US" w:eastAsia="zh-CN"/>
        </w:rPr>
        <w:t>7.13万元，完成预算100%；</w:t>
      </w:r>
      <w:r>
        <w:rPr>
          <w:rStyle w:val="17"/>
          <w:rFonts w:hint="eastAsia" w:ascii="仿宋" w:hAnsi="仿宋" w:eastAsia="仿宋"/>
          <w:b w:val="0"/>
          <w:bCs/>
          <w:color w:val="auto"/>
          <w:sz w:val="32"/>
          <w:szCs w:val="32"/>
          <w:highlight w:val="none"/>
          <w:lang w:eastAsia="zh-CN"/>
        </w:rPr>
        <w:t>社会保障和就业行政事业单位养老事业单位基本养老保险缴费支出决算为</w:t>
      </w:r>
      <w:r>
        <w:rPr>
          <w:rStyle w:val="17"/>
          <w:rFonts w:hint="eastAsia" w:ascii="仿宋" w:hAnsi="仿宋" w:eastAsia="仿宋"/>
          <w:b w:val="0"/>
          <w:bCs/>
          <w:color w:val="auto"/>
          <w:sz w:val="32"/>
          <w:szCs w:val="32"/>
          <w:highlight w:val="none"/>
          <w:lang w:val="en-US" w:eastAsia="zh-CN"/>
        </w:rPr>
        <w:t>290.39万元，完成预算100%；</w:t>
      </w:r>
      <w:r>
        <w:rPr>
          <w:rStyle w:val="17"/>
          <w:rFonts w:hint="eastAsia" w:ascii="仿宋" w:hAnsi="仿宋" w:eastAsia="仿宋"/>
          <w:b w:val="0"/>
          <w:bCs/>
          <w:color w:val="auto"/>
          <w:sz w:val="32"/>
          <w:szCs w:val="32"/>
          <w:highlight w:val="none"/>
          <w:lang w:eastAsia="zh-CN"/>
        </w:rPr>
        <w:t>社会保障和就业抚恤死亡抚恤支出决算为</w:t>
      </w:r>
      <w:r>
        <w:rPr>
          <w:rStyle w:val="17"/>
          <w:rFonts w:hint="eastAsia" w:ascii="仿宋" w:hAnsi="仿宋" w:eastAsia="仿宋"/>
          <w:b w:val="0"/>
          <w:bCs/>
          <w:color w:val="auto"/>
          <w:sz w:val="32"/>
          <w:szCs w:val="32"/>
          <w:highlight w:val="none"/>
          <w:lang w:val="en-US" w:eastAsia="zh-CN"/>
        </w:rPr>
        <w:t>1.18万元，完成预算100%</w:t>
      </w:r>
      <w:r>
        <w:rPr>
          <w:rStyle w:val="17"/>
          <w:rFonts w:hint="eastAsia" w:ascii="仿宋" w:hAnsi="仿宋" w:eastAsia="仿宋"/>
          <w:b w:val="0"/>
          <w:bCs/>
          <w:color w:val="auto"/>
          <w:sz w:val="32"/>
          <w:szCs w:val="32"/>
          <w:highlight w:val="none"/>
        </w:rPr>
        <w:t>。</w:t>
      </w:r>
    </w:p>
    <w:p>
      <w:pPr>
        <w:spacing w:line="600" w:lineRule="exact"/>
        <w:ind w:firstLine="642" w:firstLineChars="200"/>
        <w:rPr>
          <w:rStyle w:val="17"/>
          <w:rFonts w:hint="eastAsia" w:ascii="仿宋" w:hAnsi="仿宋" w:eastAsia="仿宋"/>
          <w:b w:val="0"/>
          <w:bCs/>
          <w:color w:val="auto"/>
          <w:sz w:val="32"/>
          <w:szCs w:val="32"/>
          <w:highlight w:val="none"/>
        </w:rPr>
      </w:pPr>
      <w:r>
        <w:rPr>
          <w:rStyle w:val="17"/>
          <w:rFonts w:ascii="仿宋" w:hAnsi="仿宋" w:eastAsia="仿宋"/>
          <w:bCs/>
          <w:color w:val="auto"/>
          <w:sz w:val="32"/>
          <w:szCs w:val="32"/>
          <w:highlight w:val="none"/>
        </w:rPr>
        <w:t>6.</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支出</w:t>
      </w:r>
      <w:r>
        <w:rPr>
          <w:rStyle w:val="17"/>
          <w:rFonts w:ascii="仿宋" w:hAnsi="仿宋" w:eastAsia="仿宋"/>
          <w:bCs/>
          <w:color w:val="auto"/>
          <w:sz w:val="32"/>
          <w:szCs w:val="32"/>
          <w:highlight w:val="none"/>
        </w:rPr>
        <w:t>:</w:t>
      </w:r>
      <w:r>
        <w:rPr>
          <w:rStyle w:val="17"/>
          <w:rFonts w:hint="eastAsia" w:ascii="仿宋" w:hAnsi="仿宋" w:eastAsia="仿宋"/>
          <w:b w:val="0"/>
          <w:bCs w:val="0"/>
          <w:color w:val="auto"/>
          <w:sz w:val="32"/>
          <w:szCs w:val="32"/>
          <w:highlight w:val="none"/>
          <w:lang w:eastAsia="zh-CN"/>
        </w:rPr>
        <w:t>卫生健康支出行政事业单位医疗行政单位医疗</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122.19</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；卫生健康支出行政事业单位医疗事业单位医疗支出决算为</w:t>
      </w:r>
      <w:r>
        <w:rPr>
          <w:rStyle w:val="17"/>
          <w:rFonts w:hint="eastAsia" w:ascii="仿宋" w:hAnsi="仿宋" w:eastAsia="仿宋"/>
          <w:b w:val="0"/>
          <w:bCs/>
          <w:color w:val="auto"/>
          <w:sz w:val="32"/>
          <w:szCs w:val="32"/>
          <w:highlight w:val="none"/>
          <w:lang w:val="en-US" w:eastAsia="zh-CN"/>
        </w:rPr>
        <w:t>47.36万元，完成预算100%；卫生健康支出行政事业单位医疗公务员医疗补助支出决算25.90万元，完成预算100%；卫生健康支出行政事业单位医疗其他行政事业单位医疗支出决算为6.78万元完成预算100%</w:t>
      </w:r>
      <w:r>
        <w:rPr>
          <w:rStyle w:val="17"/>
          <w:rFonts w:hint="eastAsia" w:ascii="仿宋" w:hAnsi="仿宋" w:eastAsia="仿宋"/>
          <w:b w:val="0"/>
          <w:bCs/>
          <w:color w:val="auto"/>
          <w:sz w:val="32"/>
          <w:szCs w:val="32"/>
          <w:highlight w:val="none"/>
        </w:rPr>
        <w:t>。</w:t>
      </w:r>
    </w:p>
    <w:p>
      <w:pPr>
        <w:pStyle w:val="2"/>
        <w:ind w:firstLine="642" w:firstLineChars="200"/>
        <w:rPr>
          <w:rFonts w:hint="default" w:eastAsia="仿宋"/>
          <w:b w:val="0"/>
          <w:bCs/>
          <w:lang w:val="en-US" w:eastAsia="zh-CN"/>
        </w:rPr>
      </w:pPr>
      <w:r>
        <w:rPr>
          <w:rStyle w:val="17"/>
          <w:rFonts w:hint="eastAsia" w:ascii="仿宋" w:hAnsi="仿宋" w:eastAsia="仿宋"/>
          <w:b/>
          <w:bCs w:val="0"/>
          <w:color w:val="auto"/>
          <w:sz w:val="32"/>
          <w:szCs w:val="32"/>
          <w:highlight w:val="none"/>
          <w:lang w:val="en-US" w:eastAsia="zh-CN"/>
        </w:rPr>
        <w:t>7.住房保障支出：</w:t>
      </w:r>
      <w:r>
        <w:rPr>
          <w:rStyle w:val="17"/>
          <w:rFonts w:hint="eastAsia" w:ascii="仿宋" w:hAnsi="仿宋" w:eastAsia="仿宋"/>
          <w:b w:val="0"/>
          <w:bCs/>
          <w:color w:val="auto"/>
          <w:sz w:val="32"/>
          <w:szCs w:val="32"/>
          <w:highlight w:val="none"/>
          <w:lang w:val="en-US" w:eastAsia="zh-CN"/>
        </w:rPr>
        <w:t>住房保障支出住房改革支出住房公积金支出决算为360.24万元，完成预算100%。</w:t>
      </w:r>
    </w:p>
    <w:p>
      <w:pPr>
        <w:tabs>
          <w:tab w:val="right" w:pos="8306"/>
        </w:tabs>
        <w:spacing w:line="600" w:lineRule="exact"/>
        <w:ind w:firstLine="640"/>
        <w:outlineLvl w:val="1"/>
        <w:rPr>
          <w:rStyle w:val="30"/>
          <w:color w:val="auto"/>
          <w:highlight w:val="none"/>
        </w:rPr>
      </w:pPr>
      <w:bookmarkStart w:id="50" w:name="_Toc4396"/>
      <w:bookmarkStart w:id="51" w:name="_Toc15396608"/>
      <w:bookmarkStart w:id="52"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50"/>
      <w:bookmarkEnd w:id="51"/>
      <w:bookmarkEnd w:id="52"/>
      <w:r>
        <w:rPr>
          <w:rStyle w:val="30"/>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5124.17</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4276.38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847.79</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0"/>
          <w:rFonts w:ascii="黑体" w:hAnsi="黑体" w:eastAsia="黑体"/>
          <w:b w:val="0"/>
          <w:color w:val="auto"/>
          <w:highlight w:val="none"/>
        </w:rPr>
      </w:pPr>
      <w:bookmarkStart w:id="53" w:name="_Toc2375"/>
      <w:bookmarkStart w:id="54" w:name="_Toc15377215"/>
      <w:bookmarkStart w:id="55" w:name="_Toc15396609"/>
      <w:r>
        <w:rPr>
          <w:rFonts w:hint="eastAsia" w:ascii="黑体" w:eastAsia="黑体"/>
          <w:color w:val="auto"/>
          <w:sz w:val="32"/>
          <w:szCs w:val="32"/>
          <w:highlight w:val="none"/>
        </w:rPr>
        <w:t>七、</w:t>
      </w:r>
      <w:r>
        <w:rPr>
          <w:rStyle w:val="30"/>
          <w:rFonts w:hint="eastAsia" w:ascii="黑体" w:hAnsi="黑体" w:eastAsia="黑体"/>
          <w:b w:val="0"/>
          <w:color w:val="auto"/>
          <w:highlight w:val="none"/>
        </w:rPr>
        <w:t>财政拨款</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三公”经费支出决算情况说明</w:t>
      </w:r>
      <w:bookmarkEnd w:id="53"/>
      <w:bookmarkEnd w:id="54"/>
      <w:bookmarkEnd w:id="55"/>
    </w:p>
    <w:p>
      <w:pPr>
        <w:spacing w:line="600" w:lineRule="exact"/>
        <w:ind w:firstLine="640"/>
        <w:outlineLvl w:val="2"/>
        <w:rPr>
          <w:rFonts w:ascii="仿宋" w:hAnsi="仿宋" w:eastAsia="仿宋"/>
          <w:b/>
          <w:color w:val="auto"/>
          <w:sz w:val="32"/>
          <w:szCs w:val="32"/>
          <w:highlight w:val="none"/>
        </w:rPr>
      </w:pPr>
      <w:bookmarkStart w:id="56" w:name="_Toc15377216"/>
      <w:r>
        <w:rPr>
          <w:rFonts w:hint="eastAsia" w:ascii="仿宋" w:hAnsi="仿宋" w:eastAsia="仿宋"/>
          <w:b/>
          <w:color w:val="auto"/>
          <w:sz w:val="32"/>
          <w:szCs w:val="32"/>
          <w:highlight w:val="none"/>
        </w:rPr>
        <w:t>（一）“三公”经费财政拨款支出决算总体情况说明</w:t>
      </w:r>
      <w:bookmarkEnd w:id="56"/>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126.30</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95.54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45.01万元，增长55.37%。</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资金使用绩效进一步提高，效益得到进一步发挥</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57" w:name="_Toc15377217"/>
      <w:r>
        <w:rPr>
          <w:rFonts w:hint="eastAsia" w:ascii="仿宋" w:hAnsi="仿宋" w:eastAsia="仿宋"/>
          <w:b/>
          <w:color w:val="auto"/>
          <w:sz w:val="32"/>
          <w:szCs w:val="32"/>
          <w:highlight w:val="none"/>
        </w:rPr>
        <w:t>（二）“三公”经费财政拨款支出决算具体情况说明</w:t>
      </w:r>
      <w:bookmarkEnd w:id="57"/>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124.03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98.20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2.27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drawing>
          <wp:inline distT="0" distB="0" distL="114300" distR="114300">
            <wp:extent cx="5256530" cy="2988310"/>
            <wp:effectExtent l="5080" t="4445" r="15240" b="1714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124.03</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97.11</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46.18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59.32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是本级和直属单位的公务用车大部分年限较长，运行和维修费用增高；本级新购置了公务用车</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34</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辆，其中：主要用于</w:t>
      </w:r>
      <w:r>
        <w:rPr>
          <w:rFonts w:hint="eastAsia" w:ascii="仿宋_GB2312" w:eastAsia="仿宋_GB2312"/>
          <w:color w:val="auto"/>
          <w:sz w:val="32"/>
          <w:szCs w:val="32"/>
          <w:highlight w:val="none"/>
          <w:lang w:eastAsia="zh-CN"/>
        </w:rPr>
        <w:t>日常公务出行需要</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29</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14辆</w:t>
      </w:r>
      <w:r>
        <w:rPr>
          <w:rFonts w:hint="eastAsia" w:ascii="仿宋_GB2312" w:eastAsia="仿宋_GB2312"/>
          <w:color w:val="auto"/>
          <w:sz w:val="32"/>
          <w:szCs w:val="32"/>
          <w:highlight w:val="none"/>
        </w:rPr>
        <w:t>。</w:t>
      </w:r>
      <w:bookmarkStart w:id="113" w:name="_GoBack"/>
      <w:bookmarkEnd w:id="113"/>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90.03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市场主体管理和服务以及市场监管领域的执法执勤活动</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2.27</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50.67</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lang w:val="en-US" w:eastAsia="zh-CN"/>
        </w:rPr>
        <w:t>1.17</w:t>
      </w:r>
      <w:r>
        <w:rPr>
          <w:rFonts w:hint="eastAsia" w:ascii="仿宋_GB2312" w:eastAsia="仿宋_GB2312"/>
          <w:color w:val="auto"/>
          <w:sz w:val="32"/>
          <w:szCs w:val="32"/>
          <w:highlight w:val="none"/>
        </w:rPr>
        <w:t>万元，增下降</w:t>
      </w:r>
      <w:r>
        <w:rPr>
          <w:rFonts w:hint="eastAsia" w:ascii="仿宋_GB2312" w:eastAsia="仿宋_GB2312"/>
          <w:color w:val="auto"/>
          <w:sz w:val="32"/>
          <w:szCs w:val="32"/>
          <w:highlight w:val="none"/>
          <w:lang w:val="en-US" w:eastAsia="zh-CN"/>
        </w:rPr>
        <w:t>34.01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严格支出事项，坚持过紧日子思想</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2.27</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211</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2.27</w:t>
      </w:r>
      <w:r>
        <w:rPr>
          <w:rFonts w:hint="eastAsia" w:ascii="仿宋_GB2312" w:eastAsia="仿宋_GB2312"/>
          <w:color w:val="auto"/>
          <w:sz w:val="32"/>
          <w:szCs w:val="32"/>
          <w:highlight w:val="none"/>
        </w:rPr>
        <w:t>万元。</w:t>
      </w:r>
    </w:p>
    <w:p>
      <w:pPr>
        <w:spacing w:line="600" w:lineRule="exact"/>
        <w:ind w:firstLine="642"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w:t>
      </w:r>
      <w:bookmarkStart w:id="58" w:name="_Toc15396610"/>
      <w:bookmarkStart w:id="59" w:name="_Toc15377218"/>
    </w:p>
    <w:p>
      <w:pPr>
        <w:spacing w:line="600" w:lineRule="exact"/>
        <w:ind w:firstLine="640"/>
        <w:outlineLvl w:val="1"/>
        <w:rPr>
          <w:rStyle w:val="30"/>
          <w:rFonts w:ascii="黑体" w:hAnsi="黑体" w:eastAsia="黑体"/>
          <w:color w:val="auto"/>
          <w:highlight w:val="none"/>
        </w:rPr>
      </w:pPr>
      <w:bookmarkStart w:id="60" w:name="_Toc6418"/>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58"/>
      <w:bookmarkEnd w:id="59"/>
      <w:bookmarkEnd w:id="60"/>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30"/>
          <w:rFonts w:ascii="黑体" w:hAnsi="黑体" w:eastAsia="黑体"/>
          <w:b w:val="0"/>
          <w:color w:val="auto"/>
          <w:highlight w:val="none"/>
        </w:rPr>
      </w:pPr>
      <w:bookmarkStart w:id="61" w:name="_Toc14989"/>
      <w:bookmarkStart w:id="62" w:name="_Toc15377219"/>
      <w:bookmarkStart w:id="63" w:name="_Toc15396611"/>
      <w:r>
        <w:rPr>
          <w:rStyle w:val="30"/>
          <w:rFonts w:hint="eastAsia" w:ascii="黑体" w:hAnsi="黑体" w:eastAsia="黑体"/>
          <w:b w:val="0"/>
          <w:color w:val="auto"/>
          <w:highlight w:val="none"/>
        </w:rPr>
        <w:t>国有资本经营预算支出决算情况说明</w:t>
      </w:r>
      <w:bookmarkEnd w:id="61"/>
      <w:bookmarkEnd w:id="62"/>
      <w:bookmarkEnd w:id="6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30"/>
          <w:rFonts w:hint="eastAsia" w:ascii="黑体" w:hAnsi="黑体" w:eastAsia="黑体"/>
          <w:b w:val="0"/>
          <w:color w:val="auto"/>
          <w:highlight w:val="none"/>
        </w:rPr>
      </w:pPr>
      <w:bookmarkStart w:id="64" w:name="_Toc15377221"/>
      <w:bookmarkStart w:id="65" w:name="_Toc30716"/>
      <w:bookmarkStart w:id="66" w:name="_Toc15396612"/>
      <w:r>
        <w:rPr>
          <w:rStyle w:val="30"/>
          <w:rFonts w:hint="eastAsia" w:ascii="黑体" w:hAnsi="黑体" w:eastAsia="黑体"/>
          <w:b w:val="0"/>
          <w:color w:val="auto"/>
          <w:highlight w:val="none"/>
        </w:rPr>
        <w:t>其他重要事项的情况说明</w:t>
      </w:r>
      <w:bookmarkEnd w:id="64"/>
      <w:bookmarkEnd w:id="65"/>
      <w:bookmarkEnd w:id="66"/>
    </w:p>
    <w:p>
      <w:pPr>
        <w:spacing w:line="600" w:lineRule="exact"/>
        <w:ind w:firstLine="642" w:firstLineChars="200"/>
        <w:outlineLvl w:val="2"/>
        <w:rPr>
          <w:rFonts w:ascii="仿宋" w:hAnsi="仿宋" w:eastAsia="仿宋"/>
          <w:color w:val="auto"/>
          <w:sz w:val="32"/>
          <w:szCs w:val="32"/>
          <w:highlight w:val="none"/>
        </w:rPr>
      </w:pPr>
      <w:bookmarkStart w:id="67" w:name="_Toc15377222"/>
      <w:r>
        <w:rPr>
          <w:rFonts w:hint="eastAsia" w:ascii="仿宋" w:hAnsi="仿宋" w:eastAsia="仿宋"/>
          <w:b/>
          <w:color w:val="auto"/>
          <w:sz w:val="32"/>
          <w:szCs w:val="32"/>
          <w:highlight w:val="none"/>
        </w:rPr>
        <w:t>（一）机关运行经费支出情况</w:t>
      </w:r>
      <w:bookmarkEnd w:id="67"/>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巴中市市场监督管理局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847.59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221.76</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35.43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sz w:val="32"/>
          <w:szCs w:val="32"/>
        </w:rPr>
        <w:t>主要原因是疫情防控</w:t>
      </w:r>
      <w:r>
        <w:rPr>
          <w:rFonts w:hint="eastAsia" w:ascii="仿宋_GB2312" w:eastAsia="仿宋_GB2312"/>
          <w:sz w:val="32"/>
          <w:szCs w:val="32"/>
          <w:lang w:eastAsia="zh-CN"/>
        </w:rPr>
        <w:t>、市场主体督导</w:t>
      </w:r>
      <w:r>
        <w:rPr>
          <w:rFonts w:hint="eastAsia" w:ascii="仿宋_GB2312" w:eastAsia="仿宋_GB2312"/>
          <w:sz w:val="32"/>
          <w:szCs w:val="32"/>
        </w:rPr>
        <w:t>等差旅增加</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68" w:name="_Toc15377223"/>
      <w:r>
        <w:rPr>
          <w:rFonts w:hint="eastAsia" w:ascii="仿宋" w:hAnsi="仿宋" w:eastAsia="仿宋"/>
          <w:b/>
          <w:color w:val="auto"/>
          <w:sz w:val="32"/>
          <w:szCs w:val="32"/>
          <w:highlight w:val="none"/>
        </w:rPr>
        <w:t>（二）政府采购支出情况</w:t>
      </w:r>
      <w:bookmarkEnd w:id="68"/>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巴中市市场监督管理局部门</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94.32</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94.32</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计量检测设备和特种设备检测设备购置</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94.32</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69" w:name="_Toc15377224"/>
      <w:r>
        <w:rPr>
          <w:rFonts w:hint="eastAsia" w:ascii="仿宋" w:hAnsi="仿宋" w:eastAsia="仿宋"/>
          <w:b/>
          <w:color w:val="auto"/>
          <w:sz w:val="32"/>
          <w:szCs w:val="32"/>
          <w:highlight w:val="none"/>
        </w:rPr>
        <w:t>（三）国有资产占有使用情况</w:t>
      </w:r>
      <w:bookmarkEnd w:id="69"/>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巴中市市场监督管理局部门</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29</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w:t>
      </w:r>
      <w:r>
        <w:rPr>
          <w:rFonts w:hint="eastAsia" w:ascii="仿宋_GB2312" w:eastAsia="仿宋_GB2312"/>
          <w:color w:val="auto"/>
          <w:sz w:val="32"/>
          <w:szCs w:val="32"/>
          <w:highlight w:val="none"/>
          <w:lang w:eastAsia="zh-CN"/>
        </w:rPr>
        <w:t>检定监测。</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eastAsia="zh-CN"/>
        </w:rPr>
        <w:t>省级药品</w:t>
      </w:r>
      <w:r>
        <w:rPr>
          <w:rFonts w:hint="eastAsia" w:ascii="仿宋_GB2312" w:hAnsi="仿宋_GB2312" w:eastAsia="仿宋_GB2312" w:cs="仿宋_GB2312"/>
          <w:color w:val="auto"/>
          <w:sz w:val="32"/>
          <w:szCs w:val="32"/>
          <w:highlight w:val="none"/>
        </w:rPr>
        <w:t>项目等</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21特定目标类</w:t>
      </w:r>
      <w:r>
        <w:rPr>
          <w:rFonts w:hint="eastAsia" w:ascii="仿宋_GB2312" w:hAnsi="仿宋_GB2312" w:eastAsia="仿宋_GB2312" w:cs="仿宋_GB2312"/>
          <w:color w:val="auto"/>
          <w:sz w:val="32"/>
          <w:szCs w:val="32"/>
          <w:highlight w:val="none"/>
        </w:rPr>
        <w:t>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w:t>
      </w:r>
    </w:p>
    <w:p>
      <w:pPr>
        <w:keepNext w:val="0"/>
        <w:keepLines w:val="0"/>
        <w:widowControl/>
        <w:suppressLineNumbers w:val="0"/>
        <w:ind w:firstLine="640" w:firstLineChars="200"/>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组织对2022年度一般公共预算等全面开展绩效自评，形成</w:t>
      </w:r>
      <w:r>
        <w:rPr>
          <w:rFonts w:hint="eastAsia" w:ascii="仿宋_GB2312" w:hAnsi="仿宋_GB2312" w:eastAsia="仿宋_GB2312" w:cs="仿宋_GB2312"/>
          <w:color w:val="auto"/>
          <w:sz w:val="32"/>
          <w:szCs w:val="32"/>
          <w:highlight w:val="none"/>
          <w:lang w:eastAsia="zh-CN"/>
        </w:rPr>
        <w:t>巴中市市场监管局</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eastAsia="仿宋_GB2312" w:cs="仿宋_GB2312"/>
          <w:color w:val="auto"/>
          <w:sz w:val="32"/>
          <w:szCs w:val="32"/>
          <w:highlight w:val="none"/>
          <w:lang w:eastAsia="zh-CN"/>
        </w:rPr>
        <w:t>省级药品</w:t>
      </w:r>
      <w:r>
        <w:rPr>
          <w:rFonts w:hint="eastAsia" w:ascii="仿宋_GB2312" w:hAnsi="仿宋_GB2312" w:eastAsia="仿宋_GB2312" w:cs="仿宋_GB2312"/>
          <w:color w:val="auto"/>
          <w:sz w:val="32"/>
          <w:szCs w:val="32"/>
          <w:highlight w:val="none"/>
        </w:rPr>
        <w:t>等专项预算项目绩效自评报告，其中，</w:t>
      </w:r>
      <w:r>
        <w:rPr>
          <w:rFonts w:hint="eastAsia" w:ascii="仿宋_GB2312" w:hAnsi="仿宋_GB2312" w:eastAsia="仿宋_GB2312" w:cs="仿宋_GB2312"/>
          <w:color w:val="auto"/>
          <w:sz w:val="32"/>
          <w:szCs w:val="32"/>
          <w:highlight w:val="none"/>
          <w:lang w:eastAsia="zh-CN"/>
        </w:rPr>
        <w:t>巴中市市场监管局</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95</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val="en-US" w:eastAsia="zh-CN"/>
        </w:rPr>
        <w:t>总体来看，我局2022年部门预算编制较为准确、绩效目标设置基本科学合理，较好地履行了部门法定职责以及年度重点工作，完成了年初制定的绩效目标各项任务，基本达到预期目标，有效保障了巴中市市场监管系统正常运转，提升了现代治理效率</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中央药品监管补助资金预算项目绩效自评得分</w:t>
      </w:r>
      <w:r>
        <w:rPr>
          <w:rFonts w:hint="eastAsia" w:ascii="仿宋_GB2312" w:hAnsi="仿宋_GB2312" w:eastAsia="仿宋_GB2312" w:cs="仿宋_GB2312"/>
          <w:color w:val="auto"/>
          <w:sz w:val="32"/>
          <w:szCs w:val="32"/>
          <w:highlight w:val="none"/>
          <w:lang w:val="en-US" w:eastAsia="zh-CN"/>
        </w:rPr>
        <w:t>95分。绩效自评综述：</w:t>
      </w:r>
      <w:r>
        <w:rPr>
          <w:rFonts w:hint="eastAsia" w:ascii="仿宋_GB2312" w:hAnsi="仿宋_GB2312" w:eastAsia="仿宋_GB2312" w:cs="仿宋_GB2312"/>
          <w:color w:val="auto"/>
          <w:sz w:val="32"/>
          <w:szCs w:val="32"/>
          <w:highlight w:val="none"/>
          <w:lang w:eastAsia="zh-CN"/>
        </w:rPr>
        <w:t>中央药品监管补助资金主要用于药品、医疗器械、化妆品抽检，药品企业、化妆品企业、医疗器械企业的监管，药物滥用不良反应监测和药品监管人员的培训。中央药品监管补助资金项目得到了较好的实施，严格按照专项资金管理办法进行分配、使用和绩效监控，达到了绩效目标的效果；省级药品</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eastAsia="zh-CN"/>
        </w:rPr>
        <w:t>省级药品主要用于药品、化妆品、医疗器械抽检，做到了专款专用，没有超范围开支。从自评情况来看较好的完成各项绩效目标，达到了绩效目标效果</w:t>
      </w:r>
      <w:r>
        <w:rPr>
          <w:rFonts w:hint="eastAsia" w:ascii="仿宋_GB2312" w:hAnsi="仿宋_GB2312" w:eastAsia="仿宋_GB2312" w:cs="仿宋_GB2312"/>
          <w:color w:val="auto"/>
          <w:sz w:val="32"/>
          <w:szCs w:val="32"/>
          <w:highlight w:val="none"/>
        </w:rPr>
        <w:t>。绩效自评报告详见附件。</w:t>
      </w:r>
    </w:p>
    <w:p>
      <w:pPr>
        <w:numPr>
          <w:ilvl w:val="0"/>
          <w:numId w:val="4"/>
        </w:numPr>
        <w:spacing w:line="600" w:lineRule="exact"/>
        <w:ind w:firstLine="660" w:firstLineChars="150"/>
        <w:jc w:val="center"/>
        <w:outlineLvl w:val="0"/>
        <w:rPr>
          <w:rStyle w:val="29"/>
          <w:rFonts w:ascii="黑体" w:hAnsi="黑体" w:eastAsia="黑体"/>
          <w:b w:val="0"/>
          <w:color w:val="auto"/>
          <w:highlight w:val="none"/>
        </w:rPr>
      </w:pPr>
      <w:bookmarkStart w:id="70" w:name="_Toc23740"/>
      <w:bookmarkStart w:id="71" w:name="_Toc15396613"/>
      <w:bookmarkStart w:id="72" w:name="_Toc15377225"/>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70"/>
      <w:bookmarkEnd w:id="71"/>
      <w:bookmarkEnd w:id="72"/>
    </w:p>
    <w:p>
      <w:pPr>
        <w:spacing w:line="600" w:lineRule="exact"/>
        <w:jc w:val="left"/>
        <w:rPr>
          <w:rFonts w:ascii="宋体"/>
          <w:b/>
          <w:color w:val="auto"/>
          <w:sz w:val="44"/>
          <w:szCs w:val="44"/>
          <w:highlight w:val="none"/>
        </w:rPr>
      </w:pPr>
    </w:p>
    <w:p>
      <w:pPr>
        <w:pStyle w:val="27"/>
        <w:spacing w:line="560" w:lineRule="exact"/>
        <w:ind w:firstLine="640" w:firstLineChars="200"/>
        <w:outlineLvl w:val="1"/>
        <w:rPr>
          <w:rFonts w:ascii="仿宋_GB2312" w:eastAsia="仿宋_GB2312"/>
          <w:color w:val="auto"/>
          <w:sz w:val="32"/>
          <w:szCs w:val="32"/>
          <w:highlight w:val="none"/>
        </w:rPr>
      </w:pPr>
      <w:bookmarkStart w:id="73" w:name="_Toc3908"/>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bookmarkEnd w:id="73"/>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外交（类）…（款）…（项）：指……。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公共安全（类）…（款）…（项）：指……。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eastAsia="仿宋_GB2312"/>
          <w:color w:val="auto"/>
          <w:sz w:val="32"/>
          <w:szCs w:val="32"/>
          <w:highlight w:val="none"/>
        </w:rPr>
        <w:t>教育（类）…（款）…（项）：指……。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13.</w:t>
      </w:r>
      <w:r>
        <w:rPr>
          <w:rFonts w:hint="eastAsia" w:ascii="仿宋_GB2312" w:eastAsia="仿宋_GB2312"/>
          <w:color w:val="auto"/>
          <w:sz w:val="32"/>
          <w:szCs w:val="32"/>
          <w:highlight w:val="none"/>
        </w:rPr>
        <w:t>科学技术（类）…（款）…（项）：指……。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14.</w:t>
      </w:r>
      <w:r>
        <w:rPr>
          <w:rFonts w:hint="eastAsia" w:ascii="仿宋_GB2312" w:eastAsia="仿宋_GB2312"/>
          <w:color w:val="auto"/>
          <w:sz w:val="32"/>
          <w:szCs w:val="32"/>
          <w:highlight w:val="none"/>
        </w:rPr>
        <w:t>文化</w:t>
      </w:r>
      <w:r>
        <w:rPr>
          <w:rFonts w:hint="eastAsia" w:ascii="仿宋_GB2312" w:eastAsia="仿宋_GB2312"/>
          <w:color w:val="auto"/>
          <w:sz w:val="32"/>
          <w:szCs w:val="32"/>
          <w:highlight w:val="none"/>
          <w:lang w:eastAsia="zh-CN"/>
        </w:rPr>
        <w:t>旅游</w:t>
      </w:r>
      <w:r>
        <w:rPr>
          <w:rFonts w:hint="eastAsia" w:ascii="仿宋_GB2312" w:eastAsia="仿宋_GB2312"/>
          <w:color w:val="auto"/>
          <w:sz w:val="32"/>
          <w:szCs w:val="32"/>
          <w:highlight w:val="none"/>
        </w:rPr>
        <w:t>体育与传媒（类）…（款）…（项）：指……。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15.</w:t>
      </w:r>
      <w:r>
        <w:rPr>
          <w:rFonts w:hint="eastAsia" w:ascii="仿宋_GB2312" w:eastAsia="仿宋_GB2312"/>
          <w:color w:val="auto"/>
          <w:sz w:val="32"/>
          <w:szCs w:val="32"/>
          <w:highlight w:val="none"/>
        </w:rPr>
        <w:t>社会保障和就业（类）…（款）…（项）：指……。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16.</w:t>
      </w:r>
      <w:r>
        <w:rPr>
          <w:rFonts w:hint="eastAsia" w:ascii="仿宋_GB2312" w:eastAsia="仿宋_GB2312"/>
          <w:color w:val="auto"/>
          <w:sz w:val="32"/>
          <w:szCs w:val="32"/>
          <w:highlight w:val="none"/>
          <w:lang w:eastAsia="zh-CN"/>
        </w:rPr>
        <w:t>卫生健康</w:t>
      </w:r>
      <w:r>
        <w:rPr>
          <w:rFonts w:hint="eastAsia" w:ascii="仿宋_GB2312" w:eastAsia="仿宋_GB2312"/>
          <w:color w:val="auto"/>
          <w:sz w:val="32"/>
          <w:szCs w:val="32"/>
          <w:highlight w:val="none"/>
        </w:rPr>
        <w:t>（类）…（款）…（项）：指……。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17.</w:t>
      </w:r>
      <w:r>
        <w:rPr>
          <w:rFonts w:hint="eastAsia" w:ascii="仿宋_GB2312" w:eastAsia="仿宋_GB2312"/>
          <w:color w:val="auto"/>
          <w:sz w:val="32"/>
          <w:szCs w:val="32"/>
          <w:highlight w:val="none"/>
        </w:rPr>
        <w:t>节能环保（类）…（款）…（项）：指……。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18.</w:t>
      </w:r>
      <w:r>
        <w:rPr>
          <w:rFonts w:hint="eastAsia" w:ascii="仿宋_GB2312" w:eastAsia="仿宋_GB2312"/>
          <w:color w:val="auto"/>
          <w:sz w:val="32"/>
          <w:szCs w:val="32"/>
          <w:highlight w:val="none"/>
        </w:rPr>
        <w:t>城乡社区（类）…（款）…（项）：指……。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19.</w:t>
      </w:r>
      <w:r>
        <w:rPr>
          <w:rFonts w:hint="eastAsia" w:ascii="仿宋_GB2312" w:eastAsia="仿宋_GB2312"/>
          <w:color w:val="auto"/>
          <w:sz w:val="32"/>
          <w:szCs w:val="32"/>
          <w:highlight w:val="none"/>
        </w:rPr>
        <w:t>农林水（类）…（款）…（项）：指……。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rPr>
        <w:t>交通运输（类）…（款）…（项）：指……。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21.</w:t>
      </w:r>
      <w:r>
        <w:rPr>
          <w:rFonts w:hint="eastAsia" w:ascii="仿宋_GB2312" w:eastAsia="仿宋_GB2312"/>
          <w:color w:val="auto"/>
          <w:sz w:val="32"/>
          <w:szCs w:val="32"/>
          <w:highlight w:val="none"/>
        </w:rPr>
        <w:t>资源勘探</w:t>
      </w:r>
      <w:r>
        <w:rPr>
          <w:rFonts w:hint="eastAsia" w:ascii="仿宋_GB2312" w:eastAsia="仿宋_GB2312"/>
          <w:color w:val="auto"/>
          <w:sz w:val="32"/>
          <w:szCs w:val="32"/>
          <w:highlight w:val="none"/>
          <w:lang w:eastAsia="zh-CN"/>
        </w:rPr>
        <w:t>工业</w:t>
      </w:r>
      <w:r>
        <w:rPr>
          <w:rFonts w:hint="eastAsia" w:ascii="仿宋_GB2312" w:eastAsia="仿宋_GB2312"/>
          <w:color w:val="auto"/>
          <w:sz w:val="32"/>
          <w:szCs w:val="32"/>
          <w:highlight w:val="none"/>
        </w:rPr>
        <w:t>信息等（类）…（款）…（项）：指……。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22.</w:t>
      </w:r>
      <w:r>
        <w:rPr>
          <w:rFonts w:hint="eastAsia" w:ascii="仿宋_GB2312" w:eastAsia="仿宋_GB2312"/>
          <w:color w:val="auto"/>
          <w:sz w:val="32"/>
          <w:szCs w:val="32"/>
          <w:highlight w:val="none"/>
        </w:rPr>
        <w:t>商业服务业（类）…（款）…（项）：指……。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23.</w:t>
      </w:r>
      <w:r>
        <w:rPr>
          <w:rFonts w:hint="eastAsia" w:ascii="仿宋_GB2312" w:eastAsia="仿宋_GB2312"/>
          <w:color w:val="auto"/>
          <w:sz w:val="32"/>
          <w:szCs w:val="32"/>
          <w:highlight w:val="none"/>
        </w:rPr>
        <w:t>金融（类）…（款）…（项）：指……。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24.</w:t>
      </w:r>
      <w:r>
        <w:rPr>
          <w:rFonts w:hint="eastAsia" w:ascii="仿宋_GB2312" w:eastAsia="仿宋_GB2312"/>
          <w:color w:val="auto"/>
          <w:sz w:val="32"/>
          <w:szCs w:val="32"/>
          <w:highlight w:val="none"/>
          <w:lang w:eastAsia="zh-CN"/>
        </w:rPr>
        <w:t>自然资源</w:t>
      </w:r>
      <w:r>
        <w:rPr>
          <w:rFonts w:hint="eastAsia" w:ascii="仿宋_GB2312" w:eastAsia="仿宋_GB2312"/>
          <w:color w:val="auto"/>
          <w:sz w:val="32"/>
          <w:szCs w:val="32"/>
          <w:highlight w:val="none"/>
        </w:rPr>
        <w:t>海洋气象等（类）…（款）…（项）：指……。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25.</w:t>
      </w:r>
      <w:r>
        <w:rPr>
          <w:rFonts w:hint="eastAsia" w:ascii="仿宋_GB2312" w:eastAsia="仿宋_GB2312"/>
          <w:color w:val="auto"/>
          <w:sz w:val="32"/>
          <w:szCs w:val="32"/>
          <w:highlight w:val="none"/>
        </w:rPr>
        <w:t>住房保障（类）…（款）…（项）：指……。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26.</w:t>
      </w:r>
      <w:r>
        <w:rPr>
          <w:rFonts w:hint="eastAsia" w:ascii="仿宋_GB2312" w:eastAsia="仿宋_GB2312"/>
          <w:color w:val="auto"/>
          <w:sz w:val="32"/>
          <w:szCs w:val="32"/>
          <w:highlight w:val="none"/>
        </w:rPr>
        <w:t>粮油物资储备（类）…（款）…（项）：指……。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黑体"/>
          <w:color w:val="auto"/>
          <w:sz w:val="32"/>
          <w:szCs w:val="32"/>
          <w:highlight w:val="none"/>
        </w:rPr>
      </w:pPr>
    </w:p>
    <w:p>
      <w:pPr>
        <w:ind w:firstLine="642" w:firstLineChars="200"/>
        <w:rPr>
          <w:rFonts w:ascii="仿宋" w:hAnsi="仿宋" w:eastAsia="仿宋"/>
          <w:b/>
          <w:color w:val="auto"/>
          <w:sz w:val="32"/>
          <w:szCs w:val="32"/>
          <w:highlight w:val="none"/>
        </w:rPr>
      </w:pPr>
    </w:p>
    <w:p>
      <w:pPr>
        <w:pStyle w:val="14"/>
        <w:keepNext w:val="0"/>
        <w:keepLines w:val="0"/>
        <w:pageBreakBefore w:val="0"/>
        <w:numPr>
          <w:ilvl w:val="0"/>
          <w:numId w:val="0"/>
        </w:numPr>
        <w:kinsoku/>
        <w:wordWrap/>
        <w:overflowPunct/>
        <w:topLinePunct w:val="0"/>
        <w:autoSpaceDE/>
        <w:autoSpaceDN/>
        <w:bidi w:val="0"/>
        <w:spacing w:line="560" w:lineRule="exact"/>
        <w:ind w:firstLine="883" w:firstLineChars="200"/>
        <w:textAlignment w:val="auto"/>
        <w:rPr>
          <w:rFonts w:hint="eastAsia" w:ascii="仿宋_GB2312" w:hAnsi="仿宋_GB2312" w:eastAsia="仿宋_GB2312" w:cs="仿宋_GB2312"/>
          <w:color w:val="auto"/>
          <w:sz w:val="32"/>
          <w:szCs w:val="32"/>
          <w:highlight w:val="none"/>
          <w:lang w:val="zh-CN" w:eastAsia="zh-CN"/>
        </w:rPr>
      </w:pPr>
      <w:bookmarkStart w:id="74" w:name="_Toc15377226"/>
      <w:r>
        <w:rPr>
          <w:rFonts w:ascii="宋体"/>
          <w:b/>
          <w:color w:val="auto"/>
          <w:sz w:val="44"/>
          <w:szCs w:val="44"/>
          <w:highlight w:val="none"/>
        </w:rPr>
        <w:br w:type="page"/>
      </w:r>
    </w:p>
    <w:p>
      <w:pPr>
        <w:spacing w:line="600" w:lineRule="exact"/>
        <w:jc w:val="center"/>
        <w:outlineLvl w:val="0"/>
        <w:rPr>
          <w:rStyle w:val="29"/>
          <w:rFonts w:hint="eastAsia" w:ascii="黑体" w:hAnsi="黑体" w:eastAsia="黑体"/>
          <w:b w:val="0"/>
          <w:color w:val="auto"/>
          <w:highlight w:val="none"/>
          <w:lang w:eastAsia="zh-CN"/>
        </w:rPr>
      </w:pPr>
      <w:bookmarkStart w:id="75" w:name="_Toc15396614"/>
      <w:bookmarkStart w:id="76" w:name="_Toc28035"/>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75"/>
      <w:bookmarkEnd w:id="76"/>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rPr>
      </w:pP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rPr>
      </w:pPr>
      <w:r>
        <w:rPr>
          <w:rFonts w:hint="eastAsia" w:ascii="方正小标宋_GBK" w:hAnsi="方正小标宋_GBK" w:eastAsia="方正小标宋_GBK" w:cs="方正小标宋_GBK"/>
          <w:b w:val="0"/>
          <w:bCs/>
          <w:color w:val="auto"/>
          <w:sz w:val="44"/>
          <w:szCs w:val="44"/>
          <w:highlight w:val="none"/>
          <w:shd w:val="clear" w:color="auto" w:fill="FFFFFF"/>
        </w:rPr>
        <w:t>20</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22</w:t>
      </w:r>
      <w:r>
        <w:rPr>
          <w:rFonts w:hint="eastAsia" w:ascii="方正小标宋_GBK" w:hAnsi="方正小标宋_GBK" w:eastAsia="方正小标宋_GBK" w:cs="方正小标宋_GBK"/>
          <w:b w:val="0"/>
          <w:bCs/>
          <w:color w:val="auto"/>
          <w:sz w:val="44"/>
          <w:szCs w:val="44"/>
          <w:highlight w:val="none"/>
          <w:shd w:val="clear" w:color="auto" w:fill="FFFFFF"/>
        </w:rPr>
        <w:t>年</w:t>
      </w:r>
      <w:r>
        <w:rPr>
          <w:rFonts w:hint="eastAsia" w:ascii="方正小标宋_GBK" w:hAnsi="方正小标宋_GBK" w:eastAsia="方正小标宋_GBK" w:cs="方正小标宋_GBK"/>
          <w:b w:val="0"/>
          <w:bCs/>
          <w:color w:val="auto"/>
          <w:sz w:val="44"/>
          <w:szCs w:val="44"/>
          <w:highlight w:val="none"/>
          <w:shd w:val="clear" w:color="auto" w:fill="FFFFFF"/>
          <w:lang w:eastAsia="zh-CN"/>
        </w:rPr>
        <w:t>巴中市市场监督管理局</w:t>
      </w:r>
      <w:r>
        <w:rPr>
          <w:rFonts w:hint="eastAsia" w:ascii="方正小标宋_GBK" w:hAnsi="方正小标宋_GBK" w:eastAsia="方正小标宋_GBK" w:cs="方正小标宋_GBK"/>
          <w:b w:val="0"/>
          <w:bCs/>
          <w:color w:val="auto"/>
          <w:sz w:val="44"/>
          <w:szCs w:val="44"/>
          <w:highlight w:val="none"/>
          <w:shd w:val="clear" w:color="auto" w:fill="FFFFFF"/>
        </w:rPr>
        <w:t>部门</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rPr>
      </w:pPr>
      <w:r>
        <w:rPr>
          <w:rFonts w:hint="eastAsia" w:ascii="方正小标宋_GBK" w:hAnsi="方正小标宋_GBK" w:eastAsia="方正小标宋_GBK" w:cs="方正小标宋_GBK"/>
          <w:b w:val="0"/>
          <w:bCs/>
          <w:color w:val="auto"/>
          <w:sz w:val="44"/>
          <w:szCs w:val="44"/>
          <w:highlight w:val="none"/>
          <w:shd w:val="clear" w:color="auto" w:fill="FFFFFF"/>
        </w:rPr>
        <w:t>整体绩效评价报告</w:t>
      </w:r>
    </w:p>
    <w:p>
      <w:pPr>
        <w:pStyle w:val="2"/>
        <w:rPr>
          <w:rFonts w:hint="eastAsia"/>
        </w:rPr>
      </w:pP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hint="eastAsia" w:ascii="黑体" w:hAnsi="宋体" w:eastAsia="黑体" w:cs="宋体"/>
          <w:color w:val="auto"/>
          <w:kern w:val="0"/>
          <w:sz w:val="32"/>
          <w:szCs w:val="32"/>
          <w:highlight w:val="none"/>
          <w:shd w:val="clear" w:color="auto" w:fill="FFFFFF"/>
          <w:lang w:val="zh-CN"/>
        </w:rPr>
      </w:pPr>
      <w:bookmarkStart w:id="77" w:name="_Toc3865"/>
      <w:r>
        <w:rPr>
          <w:rFonts w:hint="eastAsia" w:ascii="黑体" w:hAnsi="宋体" w:eastAsia="黑体" w:cs="宋体"/>
          <w:color w:val="auto"/>
          <w:kern w:val="0"/>
          <w:sz w:val="32"/>
          <w:szCs w:val="32"/>
          <w:highlight w:val="none"/>
          <w:shd w:val="clear" w:color="auto" w:fill="FFFFFF"/>
          <w:lang w:val="zh-CN"/>
        </w:rPr>
        <w:t>部门（单位）基本情况</w:t>
      </w:r>
      <w:bookmarkEnd w:id="77"/>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lang w:val="zh-CN"/>
        </w:rPr>
      </w:pPr>
      <w:r>
        <w:rPr>
          <w:rFonts w:hint="eastAsia" w:ascii="仿宋_GB2312" w:hAnsi="仿宋_GB2312" w:eastAsia="仿宋_GB2312" w:cs="仿宋_GB2312"/>
          <w:sz w:val="32"/>
          <w:szCs w:val="32"/>
          <w:lang w:val="en-US" w:eastAsia="zh-CN"/>
        </w:rPr>
        <w:t>巴中市市场监督管理局是2019年机构改革由原市工商局、原市质检局、原食药局整合而成的一个新机构，属市人民政府直属工作部门。内设31个科室，其中：</w:t>
      </w:r>
      <w:r>
        <w:rPr>
          <w:rFonts w:hint="eastAsia" w:ascii="仿宋_GB2312" w:hAnsi="仿宋_GB2312" w:eastAsia="仿宋_GB2312" w:cs="仿宋_GB2312"/>
          <w:sz w:val="32"/>
          <w:szCs w:val="32"/>
        </w:rPr>
        <w:t>办公室、综合</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科（产业发展科）、政策法规科</w:t>
      </w:r>
      <w:r>
        <w:rPr>
          <w:rFonts w:hint="eastAsia" w:ascii="仿宋_GB2312" w:hAnsi="仿宋_GB2312" w:eastAsia="仿宋_GB2312" w:cs="仿宋_GB2312"/>
          <w:sz w:val="32"/>
          <w:szCs w:val="32"/>
          <w:lang w:eastAsia="zh-CN"/>
        </w:rPr>
        <w:t>、企</w:t>
      </w:r>
      <w:r>
        <w:rPr>
          <w:rFonts w:hint="eastAsia" w:ascii="仿宋_GB2312" w:hAnsi="仿宋" w:eastAsia="仿宋_GB2312"/>
          <w:sz w:val="32"/>
          <w:szCs w:val="32"/>
          <w:lang w:eastAsia="zh-CN"/>
        </w:rPr>
        <w:t>业监督管理科、信用监督管理科、反垄断与反不正当竞争科（规范直销与打击传销办公室）</w:t>
      </w:r>
      <w:r>
        <w:rPr>
          <w:rFonts w:hint="eastAsia" w:ascii="仿宋_GB2312" w:hAnsi="仿宋" w:eastAsia="仿宋_GB2312"/>
          <w:sz w:val="32"/>
          <w:szCs w:val="32"/>
        </w:rPr>
        <w:t>、</w:t>
      </w:r>
      <w:r>
        <w:rPr>
          <w:rFonts w:hint="eastAsia" w:ascii="仿宋_GB2312" w:hAnsi="仿宋" w:eastAsia="仿宋_GB2312"/>
          <w:sz w:val="32"/>
          <w:szCs w:val="32"/>
          <w:lang w:eastAsia="zh-CN"/>
        </w:rPr>
        <w:t>价格监督检查科、消费者权益保护科、网络交易监督管理科、广告监督管理科、质量发展科、产品质量安全监督管理科、食品安全协调科、</w:t>
      </w:r>
      <w:r>
        <w:rPr>
          <w:rFonts w:hint="eastAsia" w:ascii="仿宋_GB2312" w:hAnsi="仿宋" w:eastAsia="仿宋_GB2312"/>
          <w:sz w:val="32"/>
          <w:szCs w:val="32"/>
        </w:rPr>
        <w:t>食品生产</w:t>
      </w:r>
      <w:r>
        <w:rPr>
          <w:rFonts w:hint="eastAsia" w:ascii="仿宋_GB2312" w:hAnsi="仿宋" w:eastAsia="仿宋_GB2312"/>
          <w:sz w:val="32"/>
          <w:szCs w:val="32"/>
          <w:lang w:eastAsia="zh-CN"/>
        </w:rPr>
        <w:t>安全监督管理科</w:t>
      </w:r>
      <w:r>
        <w:rPr>
          <w:rFonts w:hint="eastAsia" w:ascii="仿宋_GB2312" w:hAnsi="仿宋" w:eastAsia="仿宋_GB2312"/>
          <w:sz w:val="32"/>
          <w:szCs w:val="32"/>
        </w:rPr>
        <w:t>、食品流通</w:t>
      </w:r>
      <w:r>
        <w:rPr>
          <w:rFonts w:hint="eastAsia" w:ascii="仿宋_GB2312" w:hAnsi="仿宋" w:eastAsia="仿宋_GB2312"/>
          <w:sz w:val="32"/>
          <w:szCs w:val="32"/>
          <w:lang w:eastAsia="zh-CN"/>
        </w:rPr>
        <w:t>与特殊食品安全监督管理</w:t>
      </w:r>
      <w:r>
        <w:rPr>
          <w:rFonts w:hint="eastAsia" w:ascii="仿宋_GB2312" w:hAnsi="仿宋" w:eastAsia="仿宋_GB2312"/>
          <w:sz w:val="32"/>
          <w:szCs w:val="32"/>
        </w:rPr>
        <w:t>科、餐饮服务</w:t>
      </w:r>
      <w:r>
        <w:rPr>
          <w:rFonts w:hint="eastAsia" w:ascii="仿宋_GB2312" w:hAnsi="仿宋" w:eastAsia="仿宋_GB2312"/>
          <w:sz w:val="32"/>
          <w:szCs w:val="32"/>
          <w:lang w:eastAsia="zh-CN"/>
        </w:rPr>
        <w:t>安全监督管理</w:t>
      </w:r>
      <w:r>
        <w:rPr>
          <w:rFonts w:hint="eastAsia" w:ascii="仿宋_GB2312" w:hAnsi="仿宋" w:eastAsia="仿宋_GB2312"/>
          <w:sz w:val="32"/>
          <w:szCs w:val="32"/>
        </w:rPr>
        <w:t>科、</w:t>
      </w:r>
      <w:r>
        <w:rPr>
          <w:rFonts w:hint="eastAsia" w:ascii="仿宋_GB2312" w:hAnsi="仿宋" w:eastAsia="仿宋_GB2312"/>
          <w:sz w:val="32"/>
          <w:szCs w:val="32"/>
          <w:lang w:eastAsia="zh-CN"/>
        </w:rPr>
        <w:t>特种设备安全监察科、计量科、标准化科、科技与认证认可监督管理科、知识产权科、药品监督管理科、</w:t>
      </w:r>
      <w:r>
        <w:rPr>
          <w:rFonts w:hint="eastAsia" w:ascii="仿宋_GB2312" w:hAnsi="仿宋" w:eastAsia="仿宋_GB2312"/>
          <w:sz w:val="32"/>
          <w:szCs w:val="32"/>
        </w:rPr>
        <w:t>医疗器械监</w:t>
      </w:r>
      <w:r>
        <w:rPr>
          <w:rFonts w:hint="eastAsia" w:ascii="仿宋_GB2312" w:hAnsi="仿宋" w:eastAsia="仿宋_GB2312"/>
          <w:sz w:val="32"/>
          <w:szCs w:val="32"/>
          <w:lang w:eastAsia="zh-CN"/>
        </w:rPr>
        <w:t>督管理</w:t>
      </w:r>
      <w:r>
        <w:rPr>
          <w:rFonts w:hint="eastAsia" w:ascii="仿宋_GB2312" w:hAnsi="仿宋" w:eastAsia="仿宋_GB2312"/>
          <w:sz w:val="32"/>
          <w:szCs w:val="32"/>
        </w:rPr>
        <w:t>科、化妆品</w:t>
      </w:r>
      <w:r>
        <w:rPr>
          <w:rFonts w:hint="eastAsia" w:ascii="仿宋_GB2312" w:hAnsi="仿宋" w:eastAsia="仿宋_GB2312"/>
          <w:sz w:val="32"/>
          <w:szCs w:val="32"/>
          <w:lang w:eastAsia="zh-CN"/>
        </w:rPr>
        <w:t>监督管理</w:t>
      </w:r>
      <w:r>
        <w:rPr>
          <w:rFonts w:hint="eastAsia" w:ascii="仿宋_GB2312" w:hAnsi="仿宋" w:eastAsia="仿宋_GB2312"/>
          <w:sz w:val="32"/>
          <w:szCs w:val="32"/>
        </w:rPr>
        <w:t>科、</w:t>
      </w:r>
      <w:r>
        <w:rPr>
          <w:rFonts w:hint="eastAsia" w:ascii="仿宋_GB2312" w:hAnsi="仿宋" w:eastAsia="仿宋_GB2312"/>
          <w:sz w:val="32"/>
          <w:szCs w:val="32"/>
          <w:lang w:eastAsia="zh-CN"/>
        </w:rPr>
        <w:t>安全抽检监测</w:t>
      </w:r>
      <w:r>
        <w:rPr>
          <w:rFonts w:hint="eastAsia" w:ascii="仿宋_GB2312" w:hAnsi="仿宋" w:eastAsia="仿宋_GB2312"/>
          <w:sz w:val="32"/>
          <w:szCs w:val="32"/>
        </w:rPr>
        <w:t>科、</w:t>
      </w:r>
      <w:r>
        <w:rPr>
          <w:rFonts w:hint="eastAsia" w:ascii="仿宋_GB2312" w:hAnsi="仿宋" w:eastAsia="仿宋_GB2312"/>
          <w:sz w:val="32"/>
          <w:szCs w:val="32"/>
          <w:lang w:eastAsia="zh-CN"/>
        </w:rPr>
        <w:t>民营经济发展</w:t>
      </w:r>
      <w:r>
        <w:rPr>
          <w:rFonts w:hint="eastAsia" w:ascii="仿宋_GB2312" w:hAnsi="仿宋" w:eastAsia="仿宋_GB2312"/>
          <w:sz w:val="32"/>
          <w:szCs w:val="32"/>
        </w:rPr>
        <w:t>科、</w:t>
      </w:r>
      <w:r>
        <w:rPr>
          <w:rFonts w:hint="eastAsia" w:ascii="仿宋_GB2312" w:hAnsi="仿宋" w:eastAsia="仿宋_GB2312"/>
          <w:sz w:val="32"/>
          <w:szCs w:val="32"/>
          <w:lang w:eastAsia="zh-CN"/>
        </w:rPr>
        <w:t>非公经济组织党建工作指导科、行政审批科、应急处置与宣传科、财务科、人事科。下属行政单位</w:t>
      </w:r>
      <w:r>
        <w:rPr>
          <w:rFonts w:hint="eastAsia" w:ascii="仿宋_GB2312" w:hAnsi="仿宋" w:eastAsia="仿宋_GB2312"/>
          <w:sz w:val="32"/>
          <w:szCs w:val="32"/>
          <w:lang w:val="en-US" w:eastAsia="zh-CN"/>
        </w:rPr>
        <w:t>1个市市场监管局经开区分局，直属</w:t>
      </w:r>
      <w:r>
        <w:rPr>
          <w:rFonts w:hint="eastAsia" w:ascii="仿宋_GB2312" w:hAnsi="仿宋" w:eastAsia="仿宋_GB2312"/>
          <w:sz w:val="32"/>
          <w:szCs w:val="32"/>
        </w:rPr>
        <w:t>事业单位</w:t>
      </w:r>
      <w:r>
        <w:rPr>
          <w:rFonts w:hint="eastAsia" w:ascii="仿宋_GB2312" w:hAnsi="仿宋" w:eastAsia="仿宋_GB2312"/>
          <w:sz w:val="32"/>
          <w:szCs w:val="32"/>
          <w:lang w:val="en-US" w:eastAsia="zh-CN"/>
        </w:rPr>
        <w:t>2个（巴中市计量检定测试所、巴中市特种设备设监督检验所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，参照公务员法管理</w:t>
      </w:r>
      <w:r>
        <w:rPr>
          <w:rFonts w:hint="eastAsia" w:ascii="仿宋_GB2312" w:hAnsi="仿宋" w:eastAsia="仿宋_GB2312"/>
          <w:sz w:val="32"/>
          <w:szCs w:val="32"/>
        </w:rPr>
        <w:t>事业单位</w:t>
      </w:r>
      <w:r>
        <w:rPr>
          <w:rFonts w:hint="eastAsia" w:ascii="仿宋_GB2312" w:hAnsi="仿宋" w:eastAsia="仿宋_GB2312"/>
          <w:sz w:val="32"/>
          <w:szCs w:val="32"/>
          <w:lang w:val="en-US" w:eastAsia="zh-CN"/>
        </w:rPr>
        <w:t>1个（</w:t>
      </w:r>
      <w:r>
        <w:rPr>
          <w:rFonts w:hint="eastAsia" w:ascii="仿宋_GB2312" w:hAnsi="仿宋" w:eastAsia="仿宋_GB2312"/>
          <w:sz w:val="32"/>
          <w:szCs w:val="32"/>
        </w:rPr>
        <w:t>巴中市</w:t>
      </w:r>
      <w:r>
        <w:rPr>
          <w:rFonts w:hint="eastAsia" w:ascii="仿宋_GB2312" w:hAnsi="仿宋" w:eastAsia="仿宋_GB2312"/>
          <w:sz w:val="32"/>
          <w:szCs w:val="32"/>
          <w:lang w:eastAsia="zh-CN"/>
        </w:rPr>
        <w:t>市场监管综合行政执法支</w:t>
      </w:r>
      <w:r>
        <w:rPr>
          <w:rFonts w:hint="eastAsia" w:ascii="仿宋_GB2312" w:hAnsi="仿宋" w:eastAsia="仿宋_GB2312"/>
          <w:sz w:val="32"/>
          <w:szCs w:val="32"/>
        </w:rPr>
        <w:t>队</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pStyle w:val="28"/>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 w:eastAsia="仿宋_GB2312"/>
          <w:sz w:val="32"/>
          <w:szCs w:val="32"/>
          <w:lang w:val="en-US" w:eastAsia="zh-CN"/>
        </w:rPr>
        <w:t>　1.</w:t>
      </w:r>
      <w:r>
        <w:rPr>
          <w:rFonts w:hint="eastAsia" w:ascii="仿宋_GB2312" w:hAnsi="仿宋_GB2312" w:eastAsia="仿宋_GB2312" w:cs="仿宋_GB2312"/>
          <w:sz w:val="32"/>
          <w:szCs w:val="32"/>
        </w:rPr>
        <w:t>负责全市市场综合监督管理</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作。贯彻执行国家和省市场监督管理的方针、政策和有关法律法规,拟订相关规范性文件和措施,，经批准后监督实施。组织实施质量强市、食品安全、标准化和知识产权战略,拟订并组织实施全市食品安全等规划,规范和维护市场秩序,营造诚实守信、公平竞争的市场环境。</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w:t>
      </w:r>
      <w:r>
        <w:rPr>
          <w:rFonts w:hint="eastAsia" w:ascii="仿宋_GB2312" w:hAnsi="仿宋_GB2312" w:eastAsia="仿宋_GB2312" w:cs="仿宋_GB2312"/>
          <w:sz w:val="32"/>
          <w:szCs w:val="32"/>
        </w:rPr>
        <w:t>负责全市市场主体统一登记注册。负责和指导全市各类企业、农民专业合作社和从事经营活动的单位、个体工商户等市场主体的登记注册和监督管理工作。建立市场主体信息公示和共享机制,依法公示和共享有关信息,加强信用监管，推动市场主体信用体系建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3.</w:t>
      </w:r>
      <w:r>
        <w:rPr>
          <w:rFonts w:hint="eastAsia" w:ascii="仿宋_GB2312" w:hAnsi="仿宋_GB2312" w:eastAsia="仿宋_GB2312" w:cs="仿宋_GB2312"/>
          <w:sz w:val="32"/>
          <w:szCs w:val="32"/>
        </w:rPr>
        <w:t>负责组织和指导全市市场监督管理综合执法工作。指导全市市场监管综合执法</w:t>
      </w:r>
      <w:r>
        <w:rPr>
          <w:rFonts w:hint="eastAsia" w:ascii="仿宋_GB2312" w:hAnsi="仿宋_GB2312" w:eastAsia="仿宋_GB2312" w:cs="仿宋_GB2312"/>
          <w:sz w:val="32"/>
          <w:szCs w:val="32"/>
          <w:lang w:eastAsia="zh-CN"/>
        </w:rPr>
        <w:t>队</w:t>
      </w:r>
      <w:r>
        <w:rPr>
          <w:rFonts w:hint="eastAsia" w:ascii="仿宋_GB2312" w:hAnsi="仿宋_GB2312" w:eastAsia="仿宋_GB2312" w:cs="仿宋_GB2312"/>
          <w:sz w:val="32"/>
          <w:szCs w:val="32"/>
        </w:rPr>
        <w:t>伍整合和建设,推动实行统一的市场监管。组织查处和督办大案要案、疑难案件、跨区域案件。规范市场监督管理行政执法行为。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4.</w:t>
      </w:r>
      <w:r>
        <w:rPr>
          <w:rFonts w:hint="eastAsia" w:ascii="仿宋_GB2312" w:hAnsi="仿宋_GB2312" w:eastAsia="仿宋_GB2312" w:cs="仿宋_GB2312"/>
          <w:sz w:val="32"/>
          <w:szCs w:val="32"/>
        </w:rPr>
        <w:t>负责全市反垄断相关工作。统筹推进竞争政策实施,组织实施公平竞争审查制度根据省市场监督管理局委托，开展相关反垄断调查工作,指导本市企业在国外的反垄断应诉工作。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5.</w:t>
      </w:r>
      <w:r>
        <w:rPr>
          <w:rFonts w:hint="eastAsia" w:ascii="仿宋_GB2312" w:hAnsi="仿宋_GB2312" w:eastAsia="仿宋_GB2312" w:cs="仿宋_GB2312"/>
          <w:sz w:val="32"/>
          <w:szCs w:val="32"/>
        </w:rPr>
        <w:t>负责监督管理全市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指导市保护消费者权益委员会开展消费维权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6.</w:t>
      </w:r>
      <w:r>
        <w:rPr>
          <w:rFonts w:hint="eastAsia" w:ascii="仿宋_GB2312" w:hAnsi="仿宋_GB2312" w:eastAsia="仿宋_GB2312" w:cs="仿宋_GB2312"/>
          <w:sz w:val="32"/>
          <w:szCs w:val="32"/>
        </w:rPr>
        <w:t>负责全市宏观质量管理。拟订并组织实施质量发展的制度措施。统筹全市质量基础设施建设与应用。会同有关部门组织实施重大工程设备质量监理制度,组织重大产品质量事故调查，贯彻实施缺陷产品召回制度,监督管理产品防伪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7.</w:t>
      </w:r>
      <w:r>
        <w:rPr>
          <w:rFonts w:hint="eastAsia" w:ascii="仿宋_GB2312" w:hAnsi="仿宋_GB2312" w:eastAsia="仿宋_GB2312" w:cs="仿宋_GB2312"/>
          <w:sz w:val="32"/>
          <w:szCs w:val="32"/>
        </w:rPr>
        <w:t>负责全市产品质量安全监督管理负责产品质量监督抽查和风险监控工作,组织实施质量分级制度、质量安全追溯制度。负责本区域内工业产品生产许可证监督管理。负责纤维质量监督工作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8.</w:t>
      </w:r>
      <w:r>
        <w:rPr>
          <w:rFonts w:hint="eastAsia" w:ascii="仿宋_GB2312" w:hAnsi="仿宋_GB2312" w:eastAsia="仿宋_GB2312" w:cs="仿宋_GB2312"/>
          <w:sz w:val="32"/>
          <w:szCs w:val="32"/>
        </w:rPr>
        <w:t>负责全市特种设备安全监督管理。综合管理特种设备安全监察、监督工作,监督检查高耗能特种设备节能标准和锅炉产品环境保护标准的执行情况。</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9.</w:t>
      </w:r>
      <w:r>
        <w:rPr>
          <w:rFonts w:hint="eastAsia" w:ascii="仿宋_GB2312" w:hAnsi="仿宋_GB2312" w:eastAsia="仿宋_GB2312" w:cs="仿宋_GB2312"/>
          <w:sz w:val="32"/>
          <w:szCs w:val="32"/>
        </w:rPr>
        <w:t>负责全市食品安全监督管理综合协调。统筹指导全市食品安全</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作。负责食品安全应急体系建设,依法组织、指导全市食品安全事件应急处置和调查处理作。落实食品安全重要信息直报制度。承担市食品安全委员会日常工作。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10.</w:t>
      </w:r>
      <w:r>
        <w:rPr>
          <w:rFonts w:hint="eastAsia" w:ascii="仿宋_GB2312" w:hAnsi="仿宋_GB2312" w:eastAsia="仿宋_GB2312" w:cs="仿宋_GB2312"/>
          <w:sz w:val="32"/>
          <w:szCs w:val="32"/>
        </w:rPr>
        <w:t>负责全市食品安全监督管理。建立覆盖食品生产、流通、消费全过程的监督检查制度和隐患排查治理机制并组织实施,防范区域性、系统性食品安全风险。推动建立食品生产经营者落实主体责任机制,指导督促食品安全追溯体系建设。指导督促食品生产经营企业的安全生产工作,组织开展食品安全监督抽检、风险监测、核查处置和风险预警、风险交流工作。组织实施特殊食品的监督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11.</w:t>
      </w:r>
      <w:r>
        <w:rPr>
          <w:rFonts w:hint="eastAsia" w:ascii="仿宋_GB2312" w:hAnsi="仿宋_GB2312" w:eastAsia="仿宋_GB2312" w:cs="仿宋_GB2312"/>
          <w:sz w:val="32"/>
          <w:szCs w:val="32"/>
        </w:rPr>
        <w:t>负责统一管理全市计量工作。推行国家法定计量单位,执行国家计量制度,管理计量器具及量值传递和比对工作。规范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监督商品量和计量行为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12.</w:t>
      </w:r>
      <w:r>
        <w:rPr>
          <w:rFonts w:hint="eastAsia" w:ascii="仿宋_GB2312" w:hAnsi="仿宋_GB2312" w:eastAsia="仿宋_GB2312" w:cs="仿宋_GB2312"/>
          <w:sz w:val="32"/>
          <w:szCs w:val="32"/>
        </w:rPr>
        <w:t>负责统一管理全市标准化工作。依法承担草拟区域 性地方标准及区域性地方标准统一计划、统一编号、统一发布等工作和团体标准的管理工作。依法协调指导区县地方标准、团体标准制定工作。依法组织地方标准的贯彻实施和实施情况进行监督检查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13.</w:t>
      </w:r>
      <w:r>
        <w:rPr>
          <w:rFonts w:hint="eastAsia" w:ascii="仿宋_GB2312" w:hAnsi="仿宋_GB2312" w:eastAsia="仿宋_GB2312" w:cs="仿宋_GB2312"/>
          <w:sz w:val="32"/>
          <w:szCs w:val="32"/>
        </w:rPr>
        <w:t>负责统一管理全市检验检测作。规范检验检测市 场,完善检验检测体系,指导协调检验检测行业发展。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14.</w:t>
      </w:r>
      <w:r>
        <w:rPr>
          <w:rFonts w:hint="eastAsia" w:ascii="仿宋_GB2312" w:hAnsi="仿宋_GB2312" w:eastAsia="仿宋_GB2312" w:cs="仿宋_GB2312"/>
          <w:sz w:val="32"/>
          <w:szCs w:val="32"/>
        </w:rPr>
        <w:t>负责统一管理全市认证认可工作。监督管理认证认 可和合格评定工作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15.</w:t>
      </w:r>
      <w:r>
        <w:rPr>
          <w:rFonts w:hint="eastAsia" w:ascii="仿宋_GB2312" w:hAnsi="仿宋_GB2312" w:eastAsia="仿宋_GB2312" w:cs="仿宋_GB2312"/>
          <w:sz w:val="32"/>
          <w:szCs w:val="32"/>
        </w:rPr>
        <w:t>负责市场监督管理科技和信息化建设、新闻宣传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pacing w:val="-20"/>
          <w:sz w:val="32"/>
          <w:szCs w:val="32"/>
          <w:lang w:val="en-US" w:eastAsia="zh-CN"/>
        </w:rPr>
        <w:t>　16.</w:t>
      </w:r>
      <w:r>
        <w:rPr>
          <w:rFonts w:hint="eastAsia" w:ascii="仿宋_GB2312" w:hAnsi="仿宋_GB2312" w:eastAsia="仿宋_GB2312" w:cs="仿宋_GB2312"/>
          <w:spacing w:val="-20"/>
          <w:sz w:val="32"/>
          <w:szCs w:val="32"/>
        </w:rPr>
        <w:t>负责知识产权保护,负责组织指导商标、专利执</w:t>
      </w:r>
      <w:r>
        <w:rPr>
          <w:rFonts w:hint="eastAsia" w:ascii="仿宋_GB2312" w:hAnsi="仿宋_GB2312" w:eastAsia="仿宋_GB2312" w:cs="仿宋_GB2312"/>
          <w:spacing w:val="-20"/>
          <w:sz w:val="32"/>
          <w:szCs w:val="32"/>
          <w:lang w:eastAsia="zh-CN"/>
        </w:rPr>
        <w:t>法工作。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17.</w:t>
      </w:r>
      <w:r>
        <w:rPr>
          <w:rFonts w:hint="eastAsia" w:ascii="仿宋_GB2312" w:hAnsi="仿宋_GB2312" w:eastAsia="仿宋_GB2312" w:cs="仿宋_GB2312"/>
          <w:sz w:val="32"/>
          <w:szCs w:val="32"/>
        </w:rPr>
        <w:t>负责促进全市民营经济发展。负责全市民营经济发展工作的任务制定、调查研究、统筹协调、督促落实及民营企业合法权益维护。在市委组织部指导下,指导全市市场监督管理部门配合党委组织部门开展小微企业、个体工商户、专业市场的党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18.</w:t>
      </w:r>
      <w:r>
        <w:rPr>
          <w:rFonts w:hint="eastAsia" w:ascii="仿宋_GB2312" w:hAnsi="仿宋_GB2312" w:eastAsia="仿宋_GB2312" w:cs="仿宋_GB2312"/>
          <w:sz w:val="32"/>
          <w:szCs w:val="32"/>
        </w:rPr>
        <w:t>负责贯彻落实执行国家、省有关药品(含中药、民族药,下同)、医疗器械和化妆品监督管理的方针政策和法律法规。负责药品零售、医疗器械经营的安全监测、许可、检查和处罚,以及化妆品经营和药品、医疗器械使用环节质量的安全监测、检查和处罚,参与省药监局组织的监督检查。指导县区药品、医疗器械和化妆品监督管理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19.</w:t>
      </w:r>
      <w:r>
        <w:rPr>
          <w:rFonts w:hint="eastAsia" w:ascii="仿宋_GB2312" w:hAnsi="仿宋_GB2312" w:eastAsia="仿宋_GB2312" w:cs="仿宋_GB2312"/>
          <w:sz w:val="32"/>
          <w:szCs w:val="32"/>
        </w:rPr>
        <w:t>贯彻落实国家、省、市食品医药产业发展有关政策,承担牵头组织实施生物医药发展工作,配合有关部门推动道地药</w:t>
      </w:r>
      <w:r>
        <w:rPr>
          <w:rFonts w:hint="eastAsia" w:ascii="仿宋_GB2312" w:hAnsi="仿宋_GB2312" w:eastAsia="仿宋_GB2312" w:cs="仿宋_GB2312"/>
          <w:sz w:val="32"/>
          <w:szCs w:val="32"/>
          <w:lang w:eastAsia="zh-CN"/>
        </w:rPr>
        <w:t>材</w:t>
      </w:r>
      <w:r>
        <w:rPr>
          <w:rFonts w:hint="eastAsia" w:ascii="仿宋_GB2312" w:hAnsi="仿宋_GB2312" w:eastAsia="仿宋_GB2312" w:cs="仿宋_GB2312"/>
          <w:sz w:val="32"/>
          <w:szCs w:val="32"/>
        </w:rPr>
        <w:t>、食品饮料发展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w:t>
      </w:r>
      <w:r>
        <w:rPr>
          <w:rFonts w:hint="eastAsia" w:ascii="仿宋_GB2312" w:hAnsi="仿宋_GB2312" w:eastAsia="仿宋_GB2312" w:cs="仿宋_GB2312"/>
          <w:sz w:val="32"/>
          <w:szCs w:val="32"/>
        </w:rPr>
        <w:t>负责职责范围内的安全生产和职业健康、生态环境 保护审批服务便民化等工作。</w:t>
      </w:r>
    </w:p>
    <w:p>
      <w:pPr>
        <w:pStyle w:val="2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完成市委、市政府交办的其他任务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 w:eastAsia="仿宋_GB2312"/>
          <w:sz w:val="32"/>
          <w:szCs w:val="32"/>
          <w:lang w:eastAsia="zh-CN"/>
        </w:rPr>
        <w:t>截止</w:t>
      </w:r>
      <w:r>
        <w:rPr>
          <w:rFonts w:hint="eastAsia" w:ascii="仿宋_GB2312" w:hAnsi="仿宋" w:eastAsia="仿宋_GB2312"/>
          <w:sz w:val="32"/>
          <w:szCs w:val="32"/>
          <w:lang w:val="en-US" w:eastAsia="zh-CN"/>
        </w:rPr>
        <w:t>2022年12月31日，</w:t>
      </w:r>
      <w:r>
        <w:rPr>
          <w:rFonts w:hint="eastAsia" w:ascii="仿宋_GB2312" w:hAnsi="仿宋" w:eastAsia="仿宋_GB2312"/>
          <w:sz w:val="32"/>
          <w:szCs w:val="32"/>
        </w:rPr>
        <w:t>行政编制</w:t>
      </w:r>
      <w:r>
        <w:rPr>
          <w:rFonts w:hint="eastAsia" w:ascii="仿宋_GB2312" w:hAnsi="仿宋" w:eastAsia="仿宋_GB2312"/>
          <w:sz w:val="32"/>
          <w:szCs w:val="32"/>
          <w:lang w:val="en-US" w:eastAsia="zh-CN"/>
        </w:rPr>
        <w:t>110</w:t>
      </w:r>
      <w:r>
        <w:rPr>
          <w:rFonts w:hint="eastAsia" w:ascii="仿宋_GB2312" w:hAnsi="仿宋" w:eastAsia="仿宋_GB2312"/>
          <w:sz w:val="32"/>
          <w:szCs w:val="32"/>
        </w:rPr>
        <w:t>人、</w:t>
      </w:r>
      <w:r>
        <w:rPr>
          <w:rFonts w:hint="eastAsia" w:ascii="仿宋_GB2312" w:hAnsi="仿宋" w:eastAsia="仿宋_GB2312"/>
          <w:sz w:val="32"/>
          <w:szCs w:val="32"/>
          <w:lang w:eastAsia="zh-CN"/>
        </w:rPr>
        <w:t>机关工勤</w:t>
      </w:r>
      <w:r>
        <w:rPr>
          <w:rFonts w:hint="eastAsia" w:ascii="仿宋_GB2312" w:hAnsi="仿宋" w:eastAsia="仿宋_GB2312"/>
          <w:sz w:val="32"/>
          <w:szCs w:val="32"/>
        </w:rPr>
        <w:t>编制</w:t>
      </w:r>
      <w:r>
        <w:rPr>
          <w:rFonts w:hint="eastAsia" w:ascii="仿宋_GB2312" w:hAnsi="仿宋" w:eastAsia="仿宋_GB2312"/>
          <w:sz w:val="32"/>
          <w:szCs w:val="32"/>
          <w:lang w:val="en-US" w:eastAsia="zh-CN"/>
        </w:rPr>
        <w:t>13人，事业编制人员81</w:t>
      </w:r>
      <w:r>
        <w:rPr>
          <w:rFonts w:hint="eastAsia" w:ascii="仿宋_GB2312" w:hAnsi="仿宋" w:eastAsia="仿宋_GB2312"/>
          <w:sz w:val="32"/>
          <w:szCs w:val="32"/>
        </w:rPr>
        <w:t>人，</w:t>
      </w:r>
      <w:r>
        <w:rPr>
          <w:rFonts w:hint="eastAsia" w:ascii="仿宋_GB2312" w:hAnsi="仿宋" w:eastAsia="仿宋_GB2312"/>
          <w:sz w:val="32"/>
          <w:szCs w:val="32"/>
          <w:lang w:eastAsia="zh-CN"/>
        </w:rPr>
        <w:t>参公管理编制</w:t>
      </w:r>
      <w:r>
        <w:rPr>
          <w:rFonts w:hint="eastAsia" w:ascii="仿宋_GB2312" w:hAnsi="仿宋" w:eastAsia="仿宋_GB2312"/>
          <w:sz w:val="32"/>
          <w:szCs w:val="32"/>
          <w:lang w:val="en-US" w:eastAsia="zh-CN"/>
        </w:rPr>
        <w:t>27人。</w:t>
      </w: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0" w:leftChars="0"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kern w:val="2"/>
          <w:sz w:val="32"/>
          <w:szCs w:val="32"/>
          <w:lang w:val="en-US" w:eastAsia="zh-CN" w:bidi="ar-SA"/>
        </w:rPr>
      </w:pPr>
      <w:r>
        <w:rPr>
          <w:rFonts w:hint="default" w:ascii="楷体" w:hAnsi="楷体" w:eastAsia="楷体" w:cs="楷体"/>
          <w:b/>
          <w:bCs/>
          <w:kern w:val="2"/>
          <w:sz w:val="32"/>
          <w:szCs w:val="32"/>
          <w:lang w:val="en-US" w:eastAsia="zh-CN" w:bidi="ar-SA"/>
        </w:rPr>
        <w:t>（一）旗帜鲜明讲政治，</w:t>
      </w:r>
      <w:r>
        <w:rPr>
          <w:rFonts w:hint="default" w:ascii="楷体" w:hAnsi="楷体" w:eastAsia="楷体" w:cs="楷体"/>
          <w:b/>
          <w:bCs/>
          <w:kern w:val="2"/>
          <w:sz w:val="32"/>
          <w:szCs w:val="32"/>
          <w:lang w:val="en-US" w:eastAsia="en-US" w:bidi="ar-SA"/>
        </w:rPr>
        <w:t>党的建设</w:t>
      </w:r>
      <w:r>
        <w:rPr>
          <w:rFonts w:hint="eastAsia" w:ascii="楷体" w:hAnsi="楷体" w:eastAsia="楷体" w:cs="楷体"/>
          <w:b/>
          <w:bCs/>
          <w:kern w:val="2"/>
          <w:sz w:val="32"/>
          <w:szCs w:val="32"/>
          <w:lang w:val="en-US" w:eastAsia="zh-CN" w:bidi="ar-SA"/>
        </w:rPr>
        <w:t>质量不断提高</w:t>
      </w:r>
      <w:r>
        <w:rPr>
          <w:rFonts w:hint="default" w:ascii="楷体" w:hAnsi="楷体" w:eastAsia="楷体" w:cs="楷体"/>
          <w:b/>
          <w:bCs/>
          <w:kern w:val="2"/>
          <w:sz w:val="32"/>
          <w:szCs w:val="32"/>
          <w:lang w:val="en-US" w:eastAsia="en-US" w:bidi="ar-SA"/>
        </w:rPr>
        <w:t>。</w:t>
      </w:r>
      <w:r>
        <w:rPr>
          <w:rFonts w:hint="default" w:ascii="Times New Roman" w:hAnsi="Times New Roman" w:eastAsia="仿宋_GB2312" w:cs="Times New Roman"/>
          <w:b w:val="0"/>
          <w:bCs w:val="0"/>
          <w:color w:val="000000"/>
          <w:kern w:val="0"/>
          <w:sz w:val="32"/>
          <w:szCs w:val="32"/>
          <w:lang w:val="en-US" w:eastAsia="zh-CN" w:bidi="ar"/>
        </w:rPr>
        <w:t>一是深化思想政治教育。</w:t>
      </w:r>
      <w:r>
        <w:rPr>
          <w:rFonts w:hint="default" w:ascii="Times New Roman" w:hAnsi="Times New Roman" w:eastAsia="仿宋_GB2312" w:cs="Times New Roman"/>
          <w:b w:val="0"/>
          <w:bCs w:val="0"/>
          <w:kern w:val="2"/>
          <w:sz w:val="32"/>
          <w:szCs w:val="32"/>
          <w:lang w:val="en-US" w:eastAsia="zh-CN" w:bidi="ar-SA"/>
        </w:rPr>
        <w:t>坚持以党建工作为统领，</w:t>
      </w:r>
      <w:r>
        <w:rPr>
          <w:rFonts w:hint="eastAsia" w:ascii="Times New Roman" w:hAnsi="Times New Roman" w:eastAsia="仿宋_GB2312" w:cs="Times New Roman"/>
          <w:b w:val="0"/>
          <w:bCs w:val="0"/>
          <w:kern w:val="2"/>
          <w:sz w:val="32"/>
          <w:szCs w:val="32"/>
          <w:lang w:val="en-US" w:eastAsia="zh-CN" w:bidi="ar-SA"/>
        </w:rPr>
        <w:t>通过党组会、</w:t>
      </w:r>
      <w:r>
        <w:rPr>
          <w:rFonts w:hint="eastAsia" w:ascii="Times New Roman" w:hAnsi="Times New Roman" w:eastAsia="仿宋_GB2312" w:cs="Times New Roman"/>
          <w:kern w:val="2"/>
          <w:sz w:val="32"/>
          <w:szCs w:val="32"/>
          <w:lang w:val="en-US" w:eastAsia="zh-CN" w:bidi="ar-SA"/>
        </w:rPr>
        <w:t>理论学习中心组学习会、“三会一课”等，深入学习贯彻习近平新时代中国特色社会主义思想和党的二十大、</w:t>
      </w:r>
      <w:r>
        <w:rPr>
          <w:rFonts w:hint="eastAsia" w:ascii="CESI仿宋-GB2312" w:eastAsia="CESI仿宋-GB2312" w:cs="楷体"/>
          <w:color w:val="000000"/>
          <w:spacing w:val="-4"/>
          <w:sz w:val="32"/>
          <w:szCs w:val="32"/>
        </w:rPr>
        <w:t>省第十二次党代会</w:t>
      </w:r>
      <w:r>
        <w:rPr>
          <w:rFonts w:hint="eastAsia" w:ascii="CESI仿宋-GB2312" w:eastAsia="CESI仿宋-GB2312" w:cs="楷体"/>
          <w:color w:val="000000"/>
          <w:spacing w:val="-4"/>
          <w:sz w:val="32"/>
          <w:szCs w:val="32"/>
          <w:lang w:eastAsia="zh-CN"/>
        </w:rPr>
        <w:t>、</w:t>
      </w:r>
      <w:r>
        <w:rPr>
          <w:rFonts w:hint="eastAsia" w:ascii="CESI仿宋-GB2312" w:eastAsia="CESI仿宋-GB2312" w:cs="楷体"/>
          <w:color w:val="000000"/>
          <w:spacing w:val="-4"/>
          <w:sz w:val="32"/>
          <w:szCs w:val="32"/>
        </w:rPr>
        <w:t>市第五次党代会</w:t>
      </w:r>
      <w:r>
        <w:rPr>
          <w:rFonts w:hint="eastAsia" w:ascii="CESI仿宋-GB2312" w:eastAsia="CESI仿宋-GB2312" w:cs="楷体"/>
          <w:color w:val="000000"/>
          <w:spacing w:val="-4"/>
          <w:sz w:val="32"/>
          <w:szCs w:val="32"/>
          <w:lang w:eastAsia="zh-CN"/>
        </w:rPr>
        <w:t>等会议精神，引导干部职工</w:t>
      </w:r>
      <w:r>
        <w:rPr>
          <w:rFonts w:hint="default" w:ascii="Times New Roman" w:hAnsi="Times New Roman" w:eastAsia="仿宋_GB2312" w:cs="Times New Roman"/>
          <w:kern w:val="2"/>
          <w:sz w:val="32"/>
          <w:szCs w:val="32"/>
          <w:lang w:val="en-US" w:eastAsia="zh-CN" w:bidi="ar-SA"/>
        </w:rPr>
        <w:t>深刻认识</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两个确立</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的决定性意义，树牢</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四个意识</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坚定</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四个自信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坚决做到</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两个维护</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 w:val="0"/>
          <w:bCs w:val="0"/>
          <w:color w:val="000000"/>
          <w:kern w:val="0"/>
          <w:sz w:val="32"/>
          <w:szCs w:val="32"/>
          <w:lang w:val="en-US" w:eastAsia="zh-CN" w:bidi="ar"/>
        </w:rPr>
        <w:t>二是筑牢基层组织堡垒。</w:t>
      </w:r>
      <w:r>
        <w:rPr>
          <w:rFonts w:hint="default" w:ascii="Times New Roman" w:hAnsi="Times New Roman" w:eastAsia="仿宋_GB2312" w:cs="Times New Roman"/>
          <w:kern w:val="2"/>
          <w:sz w:val="32"/>
          <w:szCs w:val="32"/>
          <w:lang w:val="en-US" w:eastAsia="zh-CN" w:bidi="ar-SA"/>
        </w:rPr>
        <w:t>强化大抓基层鲜明导向，</w:t>
      </w:r>
      <w:r>
        <w:rPr>
          <w:rFonts w:hint="eastAsia" w:ascii="CESI仿宋-GB2312" w:eastAsia="CESI仿宋-GB2312"/>
          <w:color w:val="000000"/>
          <w:spacing w:val="-4"/>
          <w:sz w:val="32"/>
          <w:szCs w:val="32"/>
          <w:lang w:eastAsia="zh-CN"/>
        </w:rPr>
        <w:t>举行</w:t>
      </w:r>
      <w:r>
        <w:rPr>
          <w:rFonts w:hint="eastAsia" w:ascii="CESI仿宋-GB2312" w:eastAsia="CESI仿宋-GB2312"/>
          <w:color w:val="000000"/>
          <w:spacing w:val="-4"/>
          <w:sz w:val="32"/>
          <w:szCs w:val="32"/>
        </w:rPr>
        <w:t>机关</w:t>
      </w:r>
      <w:r>
        <w:rPr>
          <w:rFonts w:hint="eastAsia" w:ascii="CESI仿宋-GB2312" w:eastAsia="CESI仿宋-GB2312"/>
          <w:color w:val="000000"/>
          <w:spacing w:val="-4"/>
          <w:sz w:val="32"/>
          <w:szCs w:val="32"/>
          <w:lang w:eastAsia="zh-CN"/>
        </w:rPr>
        <w:t>党委</w:t>
      </w:r>
      <w:r>
        <w:rPr>
          <w:rFonts w:hint="eastAsia" w:ascii="CESI仿宋-GB2312" w:eastAsia="CESI仿宋-GB2312"/>
          <w:color w:val="000000"/>
          <w:spacing w:val="-4"/>
          <w:sz w:val="32"/>
          <w:szCs w:val="32"/>
        </w:rPr>
        <w:t>党员代表选举大会</w:t>
      </w:r>
      <w:r>
        <w:rPr>
          <w:rFonts w:hint="eastAsia" w:ascii="CESI仿宋-GB2312" w:eastAsia="CESI仿宋-GB2312"/>
          <w:color w:val="000000"/>
          <w:spacing w:val="-4"/>
          <w:sz w:val="32"/>
          <w:szCs w:val="32"/>
          <w:lang w:eastAsia="zh-CN"/>
        </w:rPr>
        <w:t>，选举</w:t>
      </w:r>
      <w:r>
        <w:rPr>
          <w:rFonts w:hint="eastAsia" w:ascii="CESI仿宋-GB2312" w:eastAsia="CESI仿宋-GB2312"/>
          <w:color w:val="000000"/>
          <w:spacing w:val="-4"/>
          <w:sz w:val="32"/>
          <w:szCs w:val="32"/>
        </w:rPr>
        <w:t>产生</w:t>
      </w:r>
      <w:r>
        <w:rPr>
          <w:rFonts w:hint="eastAsia" w:ascii="CESI仿宋-GB2312" w:eastAsia="CESI仿宋-GB2312"/>
          <w:color w:val="000000"/>
          <w:spacing w:val="-4"/>
          <w:sz w:val="32"/>
          <w:szCs w:val="32"/>
          <w:lang w:eastAsia="zh-CN"/>
        </w:rPr>
        <w:t>新一届</w:t>
      </w:r>
      <w:r>
        <w:rPr>
          <w:rFonts w:hint="eastAsia" w:ascii="CESI仿宋-GB2312" w:eastAsia="CESI仿宋-GB2312"/>
          <w:color w:val="000000"/>
          <w:spacing w:val="-4"/>
          <w:sz w:val="32"/>
          <w:szCs w:val="32"/>
        </w:rPr>
        <w:t>机关党委领导班子及机关纪委班子</w:t>
      </w:r>
      <w:r>
        <w:rPr>
          <w:rFonts w:hint="eastAsia" w:ascii="CESI仿宋-GB2312" w:eastAsia="CESI仿宋-GB2312"/>
          <w:color w:val="000000"/>
          <w:spacing w:val="-4"/>
          <w:sz w:val="32"/>
          <w:szCs w:val="32"/>
          <w:lang w:eastAsia="zh-CN"/>
        </w:rPr>
        <w:t>。选优配强机关党委所属支部“带头人”，</w:t>
      </w:r>
      <w:r>
        <w:rPr>
          <w:rFonts w:hint="eastAsia" w:ascii="Times New Roman" w:hAnsi="Times New Roman" w:eastAsia="仿宋_GB2312" w:cs="Times New Roman"/>
          <w:kern w:val="2"/>
          <w:sz w:val="32"/>
          <w:szCs w:val="32"/>
          <w:lang w:val="en-US" w:eastAsia="zh-CN" w:bidi="ar-SA"/>
        </w:rPr>
        <w:t>10个</w:t>
      </w:r>
      <w:r>
        <w:rPr>
          <w:rFonts w:hint="default" w:ascii="Times New Roman" w:hAnsi="Times New Roman" w:eastAsia="仿宋_GB2312" w:cs="Times New Roman"/>
          <w:kern w:val="2"/>
          <w:sz w:val="32"/>
          <w:szCs w:val="32"/>
          <w:lang w:val="en-US" w:eastAsia="zh-CN" w:bidi="ar-SA"/>
        </w:rPr>
        <w:t>下辖支部书记平均年龄39岁</w:t>
      </w:r>
      <w:r>
        <w:rPr>
          <w:rFonts w:hint="eastAsia" w:ascii="Times New Roman" w:hAnsi="Times New Roman" w:eastAsia="仿宋_GB2312" w:cs="Times New Roman"/>
          <w:kern w:val="2"/>
          <w:sz w:val="32"/>
          <w:szCs w:val="32"/>
          <w:lang w:val="en-US" w:eastAsia="zh-CN" w:bidi="ar-SA"/>
        </w:rPr>
        <w:t>。积极创建“</w:t>
      </w:r>
      <w:r>
        <w:rPr>
          <w:rFonts w:hint="default" w:ascii="Times New Roman" w:hAnsi="Times New Roman" w:eastAsia="仿宋_GB2312" w:cs="Times New Roman"/>
          <w:kern w:val="2"/>
          <w:sz w:val="32"/>
          <w:szCs w:val="32"/>
          <w:lang w:val="en-US" w:eastAsia="zh-CN" w:bidi="ar-SA"/>
        </w:rPr>
        <w:t>五好党支部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2个支部被市委、市直工委表彰为先进基层支部。</w:t>
      </w:r>
      <w:r>
        <w:rPr>
          <w:rFonts w:hint="eastAsia" w:ascii="CESI仿宋-GB2312" w:eastAsia="CESI仿宋-GB2312"/>
          <w:color w:val="000000"/>
          <w:spacing w:val="-4"/>
          <w:sz w:val="32"/>
          <w:szCs w:val="32"/>
        </w:rPr>
        <w:t>培养入党积极分子3名</w:t>
      </w:r>
      <w:r>
        <w:rPr>
          <w:rFonts w:hint="eastAsia" w:ascii="CESI仿宋-GB2312" w:eastAsia="CESI仿宋-GB2312"/>
          <w:color w:val="000000"/>
          <w:spacing w:val="-4"/>
          <w:sz w:val="32"/>
          <w:szCs w:val="32"/>
          <w:lang w:eastAsia="zh-CN"/>
        </w:rPr>
        <w:t>。</w:t>
      </w:r>
      <w:r>
        <w:rPr>
          <w:rFonts w:hint="default" w:ascii="Times New Roman" w:hAnsi="Times New Roman" w:eastAsia="仿宋_GB2312" w:cs="Times New Roman"/>
          <w:b w:val="0"/>
          <w:bCs w:val="0"/>
          <w:color w:val="000000"/>
          <w:kern w:val="0"/>
          <w:sz w:val="32"/>
          <w:szCs w:val="32"/>
          <w:lang w:val="en-US" w:eastAsia="zh-CN" w:bidi="ar"/>
        </w:rPr>
        <w:t>三是坚定不移转变作风。</w:t>
      </w:r>
      <w:r>
        <w:rPr>
          <w:rFonts w:hint="eastAsia" w:ascii="Times New Roman" w:hAnsi="Times New Roman" w:eastAsia="仿宋_GB2312" w:cs="Times New Roman"/>
          <w:kern w:val="2"/>
          <w:sz w:val="32"/>
          <w:szCs w:val="32"/>
          <w:lang w:val="en-US" w:eastAsia="zh-CN" w:bidi="ar-SA"/>
        </w:rPr>
        <w:t>扎实开展党建述职评议、履职廉政谈话、岗位廉政风险排查</w:t>
      </w:r>
      <w:r>
        <w:rPr>
          <w:rFonts w:hint="eastAsia" w:ascii="仿宋_GB2312" w:eastAsia="仿宋_GB2312"/>
          <w:sz w:val="32"/>
          <w:szCs w:val="32"/>
          <w:lang w:eastAsia="zh-CN"/>
        </w:rPr>
        <w:t>等，组织党员干部赴化成法纪教育基地开展廉政警示教育，增强纪律意识和廉洁意识。</w:t>
      </w:r>
      <w:r>
        <w:rPr>
          <w:rFonts w:hint="default" w:ascii="Times New Roman" w:hAnsi="Times New Roman" w:eastAsia="仿宋_GB2312" w:cs="Times New Roman"/>
          <w:kern w:val="2"/>
          <w:sz w:val="32"/>
          <w:szCs w:val="32"/>
          <w:lang w:val="en-US" w:eastAsia="zh-CN" w:bidi="ar-SA"/>
        </w:rPr>
        <w:t>深入贯彻市委领导班子</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两个环境</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建设和作风建设18字要求，聚焦</w:t>
      </w:r>
      <w:r>
        <w:rPr>
          <w:rFonts w:hint="eastAsia" w:ascii="仿宋_GB2312" w:eastAsia="仿宋_GB2312"/>
          <w:sz w:val="32"/>
          <w:szCs w:val="32"/>
          <w:lang w:eastAsia="zh-CN"/>
        </w:rPr>
        <w:t>“</w:t>
      </w:r>
      <w:r>
        <w:rPr>
          <w:rFonts w:hint="eastAsia" w:ascii="仿宋_GB2312" w:eastAsia="仿宋_GB2312"/>
          <w:sz w:val="32"/>
          <w:szCs w:val="32"/>
        </w:rPr>
        <w:t>换届病</w:t>
      </w:r>
      <w:r>
        <w:rPr>
          <w:rFonts w:hint="eastAsia" w:ascii="仿宋_GB2312" w:eastAsia="仿宋_GB2312"/>
          <w:sz w:val="32"/>
          <w:szCs w:val="32"/>
          <w:lang w:eastAsia="zh-CN"/>
        </w:rPr>
        <w:t>”“</w:t>
      </w:r>
      <w:r>
        <w:rPr>
          <w:rFonts w:hint="eastAsia" w:ascii="仿宋_GB2312" w:eastAsia="仿宋_GB2312"/>
          <w:sz w:val="32"/>
          <w:szCs w:val="32"/>
        </w:rPr>
        <w:t>机关病</w:t>
      </w:r>
      <w:r>
        <w:rPr>
          <w:rFonts w:hint="eastAsia" w:ascii="仿宋_GB2312" w:eastAsia="仿宋_GB2312"/>
          <w:sz w:val="32"/>
          <w:szCs w:val="32"/>
          <w:lang w:eastAsia="zh-CN"/>
        </w:rPr>
        <w:t>”“</w:t>
      </w:r>
      <w:r>
        <w:rPr>
          <w:rFonts w:hint="eastAsia" w:ascii="仿宋_GB2312" w:eastAsia="仿宋_GB2312"/>
          <w:sz w:val="32"/>
          <w:szCs w:val="32"/>
        </w:rPr>
        <w:t>中梗阻</w:t>
      </w:r>
      <w:r>
        <w:rPr>
          <w:rFonts w:hint="eastAsia" w:ascii="仿宋_GB2312" w:eastAsia="仿宋_GB2312"/>
          <w:sz w:val="32"/>
          <w:szCs w:val="32"/>
          <w:lang w:eastAsia="zh-CN"/>
        </w:rPr>
        <w:t>”</w:t>
      </w:r>
      <w:r>
        <w:rPr>
          <w:rFonts w:hint="default" w:ascii="仿宋_GB2312" w:eastAsia="仿宋_GB2312"/>
          <w:sz w:val="32"/>
          <w:szCs w:val="32"/>
        </w:rPr>
        <w:t>等</w:t>
      </w:r>
      <w:r>
        <w:rPr>
          <w:rFonts w:hint="default" w:ascii="仿宋_GB2312" w:eastAsia="仿宋_GB2312"/>
          <w:sz w:val="32"/>
          <w:szCs w:val="32"/>
          <w:lang w:eastAsia="zh-CN"/>
        </w:rPr>
        <w:t>问题</w:t>
      </w:r>
      <w:r>
        <w:rPr>
          <w:rFonts w:hint="default" w:ascii="仿宋_GB2312" w:eastAsia="仿宋_GB2312"/>
          <w:sz w:val="32"/>
          <w:szCs w:val="32"/>
        </w:rPr>
        <w:t>，</w:t>
      </w:r>
      <w:r>
        <w:rPr>
          <w:rFonts w:hint="default" w:ascii="Times New Roman" w:hAnsi="Times New Roman" w:eastAsia="仿宋_GB2312" w:cs="Times New Roman"/>
          <w:kern w:val="2"/>
          <w:sz w:val="32"/>
          <w:szCs w:val="32"/>
          <w:lang w:val="en-US" w:eastAsia="zh-CN" w:bidi="ar-SA"/>
        </w:rPr>
        <w:t>深入开展</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五讲五重</w:t>
      </w:r>
      <w:r>
        <w:rPr>
          <w:rFonts w:hint="eastAsia" w:ascii="Times New Roman" w:hAnsi="Times New Roman" w:eastAsia="仿宋_GB2312" w:cs="Times New Roman"/>
          <w:kern w:val="2"/>
          <w:sz w:val="32"/>
          <w:szCs w:val="32"/>
          <w:lang w:val="en-US" w:eastAsia="zh-CN" w:bidi="ar-SA"/>
        </w:rPr>
        <w:t>”</w:t>
      </w:r>
      <w:r>
        <w:rPr>
          <w:rFonts w:hint="default" w:ascii="仿宋_GB2312" w:eastAsia="仿宋_GB2312"/>
          <w:sz w:val="32"/>
          <w:szCs w:val="32"/>
        </w:rPr>
        <w:t>专项整治</w:t>
      </w:r>
      <w:r>
        <w:rPr>
          <w:rFonts w:hint="default" w:ascii="仿宋_GB2312" w:eastAsia="仿宋_GB2312"/>
          <w:sz w:val="32"/>
          <w:szCs w:val="32"/>
          <w:lang w:eastAsia="zh-CN"/>
        </w:rPr>
        <w:t>，</w:t>
      </w:r>
      <w:r>
        <w:rPr>
          <w:rFonts w:hint="default" w:ascii="仿宋_GB2312" w:eastAsia="仿宋_GB2312"/>
          <w:sz w:val="32"/>
          <w:szCs w:val="32"/>
        </w:rPr>
        <w:t>自查问题16个</w:t>
      </w:r>
      <w:r>
        <w:rPr>
          <w:rFonts w:hint="default" w:ascii="仿宋_GB2312" w:eastAsia="仿宋_GB2312"/>
          <w:sz w:val="32"/>
          <w:szCs w:val="32"/>
          <w:lang w:eastAsia="zh-CN"/>
        </w:rPr>
        <w:t>全部整改到位</w:t>
      </w:r>
      <w:r>
        <w:rPr>
          <w:rFonts w:hint="default" w:ascii="仿宋_GB2312" w:eastAsia="仿宋_GB2312"/>
          <w:sz w:val="32"/>
          <w:szCs w:val="32"/>
        </w:rPr>
        <w:t>，</w:t>
      </w:r>
      <w:r>
        <w:rPr>
          <w:rFonts w:hint="default" w:ascii="Times New Roman" w:hAnsi="Times New Roman" w:eastAsia="仿宋_GB2312" w:cs="Times New Roman"/>
          <w:kern w:val="2"/>
          <w:sz w:val="32"/>
          <w:szCs w:val="32"/>
          <w:lang w:val="en-US" w:eastAsia="zh-CN" w:bidi="ar-SA"/>
        </w:rPr>
        <w:t>4人被给予党纪处分或者组织处理。</w:t>
      </w:r>
      <w:r>
        <w:rPr>
          <w:rFonts w:hint="default" w:ascii="Times New Roman" w:hAnsi="Times New Roman" w:eastAsia="仿宋_GB2312" w:cs="Times New Roman"/>
          <w:b w:val="0"/>
          <w:bCs w:val="0"/>
          <w:color w:val="000000"/>
          <w:kern w:val="0"/>
          <w:sz w:val="32"/>
          <w:szCs w:val="32"/>
          <w:lang w:val="en-US" w:eastAsia="zh-CN" w:bidi="ar"/>
        </w:rPr>
        <w:t>四是强化非公党建引领。</w:t>
      </w:r>
      <w:r>
        <w:rPr>
          <w:rFonts w:hint="eastAsia" w:ascii="Times New Roman" w:hAnsi="Times New Roman" w:eastAsia="仿宋_GB2312" w:cs="Times New Roman"/>
          <w:kern w:val="2"/>
          <w:sz w:val="32"/>
          <w:szCs w:val="32"/>
          <w:lang w:val="en-US" w:eastAsia="zh-CN" w:bidi="ar-SA"/>
        </w:rPr>
        <w:t>深入推进非公经济组织雁阵培育专项行动，分龙头领军企业、优势骨干企业、快速成长企业3个梯队开展梯次培育。实行市委统一领导、两新工委统筹指导、“小个专”党委跟踪督导、党建联系点及时服务企业党组织的分级管理，</w:t>
      </w:r>
      <w:r>
        <w:rPr>
          <w:rFonts w:hint="default" w:ascii="Times New Roman" w:hAnsi="Times New Roman" w:eastAsia="仿宋_GB2312" w:cs="Times New Roman"/>
          <w:kern w:val="2"/>
          <w:sz w:val="32"/>
          <w:szCs w:val="32"/>
          <w:lang w:val="en-US" w:eastAsia="zh-CN" w:bidi="ar-SA"/>
        </w:rPr>
        <w:t>选派128名党建指导员对市本级非公经济组织一对一帮扶指导</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全市非公企业党组织、党建工作覆盖率分别达91.2%、100%。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default" w:ascii="楷体" w:hAnsi="楷体" w:eastAsia="楷体" w:cs="楷体"/>
          <w:b/>
          <w:bCs/>
          <w:kern w:val="2"/>
          <w:sz w:val="32"/>
          <w:szCs w:val="32"/>
          <w:lang w:val="en-US" w:eastAsia="en-US" w:bidi="ar-SA"/>
        </w:rPr>
      </w:pPr>
      <w:r>
        <w:rPr>
          <w:rFonts w:hint="eastAsia" w:ascii="楷体" w:hAnsi="楷体" w:eastAsia="楷体" w:cs="楷体"/>
          <w:b/>
          <w:bCs/>
          <w:kern w:val="2"/>
          <w:sz w:val="32"/>
          <w:szCs w:val="32"/>
          <w:lang w:val="en-US" w:eastAsia="zh-CN" w:bidi="ar-SA"/>
        </w:rPr>
        <w:t>（二）</w:t>
      </w:r>
      <w:r>
        <w:rPr>
          <w:rFonts w:hint="default" w:ascii="楷体" w:hAnsi="楷体" w:eastAsia="楷体" w:cs="楷体"/>
          <w:b/>
          <w:bCs/>
          <w:kern w:val="2"/>
          <w:sz w:val="32"/>
          <w:szCs w:val="32"/>
          <w:lang w:val="en-US" w:eastAsia="en-US" w:bidi="ar-SA"/>
        </w:rPr>
        <w:t>凝神聚力谋发展，</w:t>
      </w:r>
      <w:r>
        <w:rPr>
          <w:rFonts w:hint="eastAsia" w:ascii="楷体" w:hAnsi="楷体" w:eastAsia="楷体" w:cs="楷体"/>
          <w:b/>
          <w:bCs/>
          <w:kern w:val="2"/>
          <w:sz w:val="32"/>
          <w:szCs w:val="32"/>
          <w:lang w:val="en-US" w:eastAsia="zh-CN" w:bidi="ar-SA"/>
        </w:rPr>
        <w:t>力促</w:t>
      </w:r>
      <w:r>
        <w:rPr>
          <w:rFonts w:hint="default" w:ascii="楷体" w:hAnsi="楷体" w:eastAsia="楷体" w:cs="楷体"/>
          <w:b/>
          <w:bCs/>
          <w:kern w:val="2"/>
          <w:sz w:val="32"/>
          <w:szCs w:val="32"/>
          <w:lang w:val="en-US" w:eastAsia="en-US" w:bidi="ar-SA"/>
        </w:rPr>
        <w:t>民营经济稳回升。</w:t>
      </w:r>
      <w:r>
        <w:rPr>
          <w:rFonts w:hint="default" w:ascii="Times New Roman" w:hAnsi="Times New Roman" w:eastAsia="仿宋_GB2312" w:cs="Times New Roman"/>
          <w:b w:val="0"/>
          <w:bCs w:val="0"/>
          <w:color w:val="000000"/>
          <w:kern w:val="0"/>
          <w:sz w:val="32"/>
          <w:szCs w:val="32"/>
          <w:lang w:val="en-US" w:eastAsia="zh-CN" w:bidi="ar"/>
        </w:rPr>
        <w:t>一是</w:t>
      </w:r>
      <w:r>
        <w:rPr>
          <w:rFonts w:hint="eastAsia" w:ascii="Times New Roman" w:hAnsi="Times New Roman" w:eastAsia="仿宋_GB2312" w:cs="Times New Roman"/>
          <w:b w:val="0"/>
          <w:bCs w:val="0"/>
          <w:color w:val="000000"/>
          <w:kern w:val="0"/>
          <w:sz w:val="32"/>
          <w:szCs w:val="32"/>
          <w:lang w:val="en-US" w:eastAsia="zh-CN" w:bidi="ar"/>
        </w:rPr>
        <w:t>抓</w:t>
      </w:r>
      <w:r>
        <w:rPr>
          <w:rFonts w:hint="default" w:ascii="Times New Roman" w:hAnsi="Times New Roman" w:eastAsia="仿宋_GB2312" w:cs="Times New Roman"/>
          <w:b w:val="0"/>
          <w:bCs w:val="0"/>
          <w:color w:val="000000"/>
          <w:kern w:val="0"/>
          <w:sz w:val="32"/>
          <w:szCs w:val="32"/>
          <w:lang w:val="en-US" w:eastAsia="zh-CN" w:bidi="ar"/>
        </w:rPr>
        <w:t>市场主体培育。</w:t>
      </w:r>
      <w:r>
        <w:rPr>
          <w:rFonts w:hint="default" w:ascii="Times New Roman" w:hAnsi="Times New Roman" w:eastAsia="仿宋_GB2312" w:cs="Times New Roman"/>
          <w:kern w:val="2"/>
          <w:sz w:val="32"/>
          <w:szCs w:val="32"/>
          <w:lang w:val="en-US" w:eastAsia="zh-CN" w:bidi="ar-SA"/>
        </w:rPr>
        <w:t>出台《</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十四五</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期间</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转企升规</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实施方案》，</w:t>
      </w:r>
      <w:r>
        <w:rPr>
          <w:rFonts w:hint="eastAsia" w:ascii="Times New Roman" w:hAnsi="Times New Roman" w:eastAsia="仿宋_GB2312" w:cs="Times New Roman"/>
          <w:kern w:val="2"/>
          <w:sz w:val="32"/>
          <w:szCs w:val="32"/>
          <w:lang w:val="en-US" w:eastAsia="zh-CN" w:bidi="ar-SA"/>
        </w:rPr>
        <w:t>遴选</w:t>
      </w:r>
      <w:r>
        <w:rPr>
          <w:rFonts w:hint="default" w:ascii="Times New Roman" w:hAnsi="Times New Roman" w:eastAsia="仿宋_GB2312" w:cs="Times New Roman"/>
          <w:i w:val="0"/>
          <w:kern w:val="2"/>
          <w:sz w:val="32"/>
          <w:szCs w:val="32"/>
          <w:lang w:val="en-US" w:eastAsia="zh-CN" w:bidi="ar-SA"/>
        </w:rPr>
        <w:t>426户个体工商户纳入</w:t>
      </w:r>
      <w:r>
        <w:rPr>
          <w:rFonts w:hint="eastAsia" w:ascii="Times New Roman" w:hAnsi="Times New Roman" w:eastAsia="仿宋_GB2312" w:cs="Times New Roman"/>
          <w:i w:val="0"/>
          <w:kern w:val="2"/>
          <w:sz w:val="32"/>
          <w:szCs w:val="32"/>
          <w:lang w:val="en-US" w:eastAsia="zh-CN" w:bidi="ar-SA"/>
        </w:rPr>
        <w:t>转型</w:t>
      </w:r>
      <w:r>
        <w:rPr>
          <w:rFonts w:hint="default" w:ascii="Times New Roman" w:hAnsi="Times New Roman" w:eastAsia="仿宋_GB2312" w:cs="Times New Roman"/>
          <w:i w:val="0"/>
          <w:kern w:val="2"/>
          <w:sz w:val="32"/>
          <w:szCs w:val="32"/>
          <w:lang w:val="en-US" w:eastAsia="zh-CN" w:bidi="ar-SA"/>
        </w:rPr>
        <w:t>培育库</w:t>
      </w:r>
      <w:r>
        <w:rPr>
          <w:rFonts w:hint="eastAsia" w:ascii="Times New Roman" w:hAnsi="Times New Roman" w:eastAsia="仿宋_GB2312" w:cs="Times New Roman"/>
          <w:i w:val="0"/>
          <w:kern w:val="2"/>
          <w:sz w:val="32"/>
          <w:szCs w:val="32"/>
          <w:lang w:val="en-US" w:eastAsia="zh-CN" w:bidi="ar-SA"/>
        </w:rPr>
        <w:t>，培育“个转企”</w:t>
      </w:r>
      <w:r>
        <w:rPr>
          <w:rFonts w:hint="default" w:ascii="Times New Roman" w:hAnsi="Times New Roman" w:eastAsia="仿宋_GB2312" w:cs="Times New Roman"/>
          <w:i w:val="0"/>
          <w:kern w:val="2"/>
          <w:sz w:val="32"/>
          <w:szCs w:val="32"/>
          <w:lang w:val="en-US" w:eastAsia="zh-CN" w:bidi="ar-SA"/>
        </w:rPr>
        <w:t>158</w:t>
      </w:r>
      <w:r>
        <w:rPr>
          <w:rFonts w:hint="eastAsia" w:ascii="Times New Roman" w:hAnsi="Times New Roman" w:eastAsia="仿宋_GB2312" w:cs="Times New Roman"/>
          <w:i w:val="0"/>
          <w:kern w:val="2"/>
          <w:sz w:val="32"/>
          <w:szCs w:val="32"/>
          <w:lang w:val="en-US" w:eastAsia="zh-CN" w:bidi="ar-SA"/>
        </w:rPr>
        <w:t>户，提前完成120户省定</w:t>
      </w:r>
      <w:r>
        <w:rPr>
          <w:rFonts w:hint="eastAsia" w:ascii="Times New Roman" w:hAnsi="Times New Roman" w:eastAsia="仿宋_GB2312" w:cs="Times New Roman"/>
          <w:kern w:val="2"/>
          <w:sz w:val="32"/>
          <w:szCs w:val="32"/>
          <w:lang w:val="en-US" w:eastAsia="zh-CN" w:bidi="ar-SA"/>
        </w:rPr>
        <w:t>目标。实施</w:t>
      </w:r>
      <w:r>
        <w:rPr>
          <w:rFonts w:hint="default" w:ascii="Times New Roman" w:hAnsi="Times New Roman" w:eastAsia="仿宋_GB2312" w:cs="Times New Roman"/>
          <w:kern w:val="2"/>
          <w:sz w:val="32"/>
          <w:szCs w:val="32"/>
          <w:lang w:val="en-US" w:eastAsia="zh-CN" w:bidi="ar-SA"/>
        </w:rPr>
        <w:t>民营企业雁阵培育</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五年行动计划</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b w:val="0"/>
          <w:bCs/>
          <w:color w:val="000000"/>
          <w:kern w:val="2"/>
          <w:sz w:val="32"/>
          <w:szCs w:val="32"/>
          <w:highlight w:val="none"/>
          <w:u w:val="none"/>
          <w:lang w:val="en-US" w:eastAsia="zh-CN" w:bidi="ar-SA"/>
        </w:rPr>
        <w:t>新增市场主体16910户、注册资本432.25亿元，全市市场主体、注册资本分别达151900户、3367.33亿元，同比增长1.36%、19.10%。</w:t>
      </w:r>
      <w:r>
        <w:rPr>
          <w:rFonts w:hint="default" w:ascii="Times New Roman" w:hAnsi="Times New Roman" w:eastAsia="仿宋_GB2312" w:cs="Times New Roman"/>
          <w:b w:val="0"/>
          <w:bCs w:val="0"/>
          <w:color w:val="000000"/>
          <w:kern w:val="0"/>
          <w:sz w:val="32"/>
          <w:szCs w:val="32"/>
          <w:lang w:val="en-US" w:eastAsia="zh-CN" w:bidi="ar"/>
        </w:rPr>
        <w:t>二是</w:t>
      </w:r>
      <w:r>
        <w:rPr>
          <w:rFonts w:hint="eastAsia" w:ascii="Times New Roman" w:hAnsi="Times New Roman" w:eastAsia="仿宋_GB2312" w:cs="Times New Roman"/>
          <w:b w:val="0"/>
          <w:bCs w:val="0"/>
          <w:color w:val="000000"/>
          <w:kern w:val="0"/>
          <w:sz w:val="32"/>
          <w:szCs w:val="32"/>
          <w:lang w:val="en-US" w:eastAsia="zh-CN" w:bidi="ar"/>
        </w:rPr>
        <w:t>抓企业诉求化解。</w:t>
      </w:r>
      <w:r>
        <w:rPr>
          <w:rFonts w:hint="default" w:ascii="Times New Roman" w:hAnsi="Times New Roman" w:eastAsia="仿宋_GB2312" w:cs="Times New Roman"/>
          <w:kern w:val="2"/>
          <w:sz w:val="32"/>
          <w:szCs w:val="32"/>
          <w:lang w:val="en-US" w:eastAsia="zh-CN" w:bidi="ar-SA"/>
        </w:rPr>
        <w:t>开展企业合理合法诉求动态清零行动</w:t>
      </w:r>
      <w:r>
        <w:rPr>
          <w:rFonts w:hint="eastAsia" w:ascii="Times New Roman" w:hAnsi="Times New Roman" w:eastAsia="仿宋_GB2312" w:cs="Times New Roman"/>
          <w:kern w:val="2"/>
          <w:sz w:val="32"/>
          <w:szCs w:val="32"/>
          <w:lang w:val="en-US" w:eastAsia="zh-CN" w:bidi="ar-SA"/>
        </w:rPr>
        <w:t>，对收集的1</w:t>
      </w:r>
      <w:r>
        <w:rPr>
          <w:rFonts w:hint="default" w:ascii="Times New Roman" w:hAnsi="Times New Roman" w:eastAsia="仿宋_GB2312" w:cs="Times New Roman"/>
          <w:kern w:val="2"/>
          <w:sz w:val="32"/>
          <w:szCs w:val="32"/>
          <w:lang w:val="en-US" w:eastAsia="zh-CN" w:bidi="ar-SA"/>
        </w:rPr>
        <w:t>29</w:t>
      </w:r>
      <w:r>
        <w:rPr>
          <w:rFonts w:hint="eastAsia" w:ascii="Times New Roman" w:hAnsi="Times New Roman" w:eastAsia="仿宋_GB2312" w:cs="Times New Roman"/>
          <w:kern w:val="2"/>
          <w:sz w:val="32"/>
          <w:szCs w:val="32"/>
          <w:lang w:val="en-US" w:eastAsia="zh-CN" w:bidi="ar-SA"/>
        </w:rPr>
        <w:t>家企业</w:t>
      </w:r>
      <w:r>
        <w:rPr>
          <w:rFonts w:hint="default" w:ascii="Times New Roman" w:hAnsi="Times New Roman" w:eastAsia="仿宋_GB2312" w:cs="Times New Roman"/>
          <w:kern w:val="2"/>
          <w:sz w:val="32"/>
          <w:szCs w:val="32"/>
          <w:lang w:val="en-US" w:eastAsia="zh-CN" w:bidi="ar-SA"/>
        </w:rPr>
        <w:t>207</w:t>
      </w:r>
      <w:r>
        <w:rPr>
          <w:rFonts w:hint="eastAsia" w:ascii="Times New Roman" w:hAnsi="Times New Roman" w:eastAsia="仿宋_GB2312" w:cs="Times New Roman"/>
          <w:kern w:val="2"/>
          <w:sz w:val="32"/>
          <w:szCs w:val="32"/>
          <w:lang w:val="en-US" w:eastAsia="zh-CN" w:bidi="ar-SA"/>
        </w:rPr>
        <w:t>件诉求，实行“清单制+责任制+销号制”管理，办结率79.7%。探索推进</w:t>
      </w:r>
      <w:r>
        <w:rPr>
          <w:rFonts w:hint="default" w:ascii="Times New Roman" w:hAnsi="Times New Roman" w:eastAsia="仿宋_GB2312" w:cs="Times New Roman"/>
          <w:kern w:val="2"/>
          <w:sz w:val="32"/>
          <w:szCs w:val="32"/>
          <w:lang w:val="en-US" w:eastAsia="zh-CN" w:bidi="ar-SA"/>
        </w:rPr>
        <w:t>民营企业纠纷多元化解领域供给侧改革试点</w:t>
      </w:r>
      <w:r>
        <w:rPr>
          <w:rFonts w:hint="eastAsia" w:ascii="Times New Roman" w:hAnsi="Times New Roman" w:eastAsia="仿宋_GB2312" w:cs="Times New Roman"/>
          <w:kern w:val="2"/>
          <w:sz w:val="32"/>
          <w:szCs w:val="32"/>
          <w:lang w:val="en-US" w:eastAsia="zh-CN" w:bidi="ar-SA"/>
        </w:rPr>
        <w:t>，建成公共法律服务中心（站）136个，“一企一策”办结民营企业融资、用地等事项241个。为</w:t>
      </w:r>
      <w:r>
        <w:rPr>
          <w:rFonts w:hint="default" w:ascii="Times New Roman" w:hAnsi="Times New Roman" w:eastAsia="仿宋_GB2312" w:cs="Times New Roman"/>
          <w:kern w:val="2"/>
          <w:sz w:val="32"/>
          <w:szCs w:val="32"/>
          <w:lang w:val="en-US" w:eastAsia="zh-CN" w:bidi="ar-SA"/>
        </w:rPr>
        <w:t>45家</w:t>
      </w:r>
      <w:r>
        <w:rPr>
          <w:rFonts w:hint="eastAsia" w:ascii="Times New Roman" w:hAnsi="Times New Roman" w:eastAsia="仿宋_GB2312" w:cs="Times New Roman"/>
          <w:kern w:val="2"/>
          <w:sz w:val="32"/>
          <w:szCs w:val="32"/>
          <w:lang w:val="en-US" w:eastAsia="zh-CN" w:bidi="ar-SA"/>
        </w:rPr>
        <w:t>民营企业挽回经济（偿还贷款）损失5499.64万元。</w:t>
      </w:r>
      <w:r>
        <w:rPr>
          <w:rFonts w:hint="eastAsia" w:ascii="Times New Roman" w:hAnsi="Times New Roman" w:eastAsia="仿宋_GB2312" w:cs="Times New Roman"/>
          <w:b w:val="0"/>
          <w:bCs w:val="0"/>
          <w:color w:val="000000"/>
          <w:kern w:val="0"/>
          <w:sz w:val="32"/>
          <w:szCs w:val="32"/>
          <w:lang w:val="en-US" w:eastAsia="zh-CN" w:bidi="ar"/>
        </w:rPr>
        <w:t>三是抓惠企政策落实。</w:t>
      </w:r>
      <w:r>
        <w:rPr>
          <w:rFonts w:hint="eastAsia" w:ascii="Times New Roman" w:hAnsi="Times New Roman" w:eastAsia="仿宋_GB2312" w:cs="Times New Roman"/>
          <w:kern w:val="2"/>
          <w:sz w:val="32"/>
          <w:szCs w:val="32"/>
          <w:lang w:val="en-US" w:eastAsia="zh-CN" w:bidi="ar-SA"/>
        </w:rPr>
        <w:t>分行业梳理归集</w:t>
      </w:r>
      <w:r>
        <w:rPr>
          <w:rFonts w:hint="default" w:ascii="Times New Roman" w:hAnsi="Times New Roman" w:eastAsia="仿宋_GB2312" w:cs="Times New Roman"/>
          <w:i w:val="0"/>
          <w:kern w:val="2"/>
          <w:sz w:val="32"/>
          <w:szCs w:val="32"/>
          <w:lang w:val="en-US" w:eastAsia="zh-CN" w:bidi="ar-SA"/>
        </w:rPr>
        <w:t>13方面71条</w:t>
      </w:r>
      <w:r>
        <w:rPr>
          <w:rFonts w:hint="eastAsia" w:ascii="Times New Roman" w:hAnsi="Times New Roman" w:eastAsia="仿宋_GB2312" w:cs="Times New Roman"/>
          <w:i w:val="0"/>
          <w:kern w:val="2"/>
          <w:sz w:val="32"/>
          <w:szCs w:val="32"/>
          <w:lang w:val="en-US" w:eastAsia="zh-CN" w:bidi="ar-SA"/>
        </w:rPr>
        <w:t>措施形成“巴中助企纾困政策明白卡”，采取创新“主播说”、开辟“专题栏”、服务“线下办”等方式，持续提升政策知晓程度和落地效度。1—10月，全市落实增值税留抵退税11.</w:t>
      </w:r>
      <w:r>
        <w:rPr>
          <w:rFonts w:hint="default" w:ascii="Times New Roman" w:hAnsi="Times New Roman" w:eastAsia="仿宋_GB2312" w:cs="Times New Roman"/>
          <w:i w:val="0"/>
          <w:kern w:val="2"/>
          <w:sz w:val="32"/>
          <w:szCs w:val="32"/>
          <w:lang w:val="en-US" w:eastAsia="zh-CN" w:bidi="ar-SA"/>
        </w:rPr>
        <w:t>58</w:t>
      </w:r>
      <w:r>
        <w:rPr>
          <w:rFonts w:hint="eastAsia" w:ascii="Times New Roman" w:hAnsi="Times New Roman" w:eastAsia="仿宋_GB2312" w:cs="Times New Roman"/>
          <w:i w:val="0"/>
          <w:kern w:val="2"/>
          <w:sz w:val="32"/>
          <w:szCs w:val="32"/>
          <w:lang w:val="en-US" w:eastAsia="zh-CN" w:bidi="ar-SA"/>
        </w:rPr>
        <w:t>亿元，</w:t>
      </w:r>
      <w:r>
        <w:rPr>
          <w:rFonts w:hint="eastAsia" w:ascii="Times New Roman" w:hAnsi="Times New Roman" w:eastAsia="仿宋_GB2312" w:cs="Times New Roman"/>
          <w:b w:val="0"/>
          <w:bCs/>
          <w:color w:val="000000"/>
          <w:kern w:val="2"/>
          <w:sz w:val="32"/>
          <w:szCs w:val="32"/>
          <w:highlight w:val="none"/>
          <w:u w:val="none"/>
          <w:lang w:val="en-US" w:eastAsia="zh-CN" w:bidi="ar-SA"/>
        </w:rPr>
        <w:t>为3612家参保单位及职工减少失业保险费支出6557万元，</w:t>
      </w:r>
      <w:r>
        <w:rPr>
          <w:rFonts w:hint="default" w:ascii="Times New Roman" w:hAnsi="Times New Roman" w:eastAsia="仿宋_GB2312" w:cs="Times New Roman"/>
          <w:i w:val="0"/>
          <w:kern w:val="2"/>
          <w:sz w:val="32"/>
          <w:szCs w:val="32"/>
          <w:lang w:val="en-US" w:eastAsia="zh-CN" w:bidi="ar-SA"/>
        </w:rPr>
        <w:t>为1466家参保企业拨付稳岗返还资金1609.6万元</w:t>
      </w:r>
      <w:r>
        <w:rPr>
          <w:rFonts w:hint="eastAsia" w:ascii="Times New Roman" w:hAnsi="Times New Roman" w:eastAsia="仿宋_GB2312" w:cs="Times New Roman"/>
          <w:i w:val="0"/>
          <w:kern w:val="2"/>
          <w:sz w:val="32"/>
          <w:szCs w:val="32"/>
          <w:lang w:val="en-US" w:eastAsia="zh-CN" w:bidi="ar-SA"/>
        </w:rPr>
        <w:t>，</w:t>
      </w:r>
      <w:r>
        <w:rPr>
          <w:rFonts w:hint="default" w:ascii="Times New Roman" w:hAnsi="Times New Roman" w:eastAsia="仿宋_GB2312" w:cs="Times New Roman"/>
          <w:b w:val="0"/>
          <w:bCs/>
          <w:color w:val="000000"/>
          <w:sz w:val="32"/>
          <w:szCs w:val="32"/>
          <w:highlight w:val="none"/>
          <w:u w:val="none"/>
          <w:lang w:val="en-US" w:eastAsia="zh-CN"/>
        </w:rPr>
        <w:t>17家银行机构为受困企业、个体工商户和货车司机等办理延期涉及金额35.30亿元</w:t>
      </w:r>
      <w:r>
        <w:rPr>
          <w:rFonts w:hint="eastAsia" w:ascii="Times New Roman" w:hAnsi="Times New Roman" w:eastAsia="仿宋_GB2312" w:cs="Times New Roman"/>
          <w:b w:val="0"/>
          <w:bCs/>
          <w:color w:val="000000"/>
          <w:sz w:val="32"/>
          <w:szCs w:val="32"/>
          <w:highlight w:val="none"/>
          <w:u w:val="none"/>
          <w:lang w:val="en-US" w:eastAsia="zh-CN"/>
        </w:rPr>
        <w:t>，</w:t>
      </w:r>
      <w:r>
        <w:rPr>
          <w:rFonts w:hint="default" w:ascii="Times New Roman" w:hAnsi="Times New Roman" w:eastAsia="仿宋_GB2312" w:cs="Times New Roman"/>
          <w:i w:val="0"/>
          <w:kern w:val="2"/>
          <w:sz w:val="32"/>
          <w:szCs w:val="32"/>
          <w:lang w:val="en-US" w:eastAsia="zh-CN" w:bidi="ar-SA"/>
        </w:rPr>
        <w:t>向</w:t>
      </w:r>
      <w:r>
        <w:rPr>
          <w:rFonts w:hint="eastAsia" w:ascii="Times New Roman" w:hAnsi="Times New Roman" w:eastAsia="仿宋_GB2312" w:cs="Times New Roman"/>
          <w:i w:val="0"/>
          <w:kern w:val="2"/>
          <w:sz w:val="32"/>
          <w:szCs w:val="32"/>
          <w:lang w:val="en-US" w:eastAsia="zh-CN" w:bidi="ar-SA"/>
        </w:rPr>
        <w:t>467</w:t>
      </w:r>
      <w:r>
        <w:rPr>
          <w:rFonts w:hint="default" w:ascii="Times New Roman" w:hAnsi="Times New Roman" w:eastAsia="仿宋_GB2312" w:cs="Times New Roman"/>
          <w:i w:val="0"/>
          <w:kern w:val="2"/>
          <w:sz w:val="32"/>
          <w:szCs w:val="32"/>
          <w:lang w:val="en-US" w:eastAsia="zh-CN" w:bidi="ar-SA"/>
        </w:rPr>
        <w:t>户中小微企业和个体工商户减免租金</w:t>
      </w:r>
      <w:r>
        <w:rPr>
          <w:rFonts w:hint="default" w:ascii="Times New Roman" w:hAnsi="Times New Roman" w:eastAsia="仿宋_GB2312" w:cs="Times New Roman"/>
          <w:b w:val="0"/>
          <w:bCs/>
          <w:color w:val="000000"/>
          <w:kern w:val="2"/>
          <w:sz w:val="32"/>
          <w:szCs w:val="32"/>
          <w:highlight w:val="none"/>
          <w:u w:val="none"/>
          <w:lang w:val="en-US" w:eastAsia="zh-CN" w:bidi="ar-SA"/>
        </w:rPr>
        <w:t>1603.39</w:t>
      </w:r>
      <w:r>
        <w:rPr>
          <w:rFonts w:hint="default" w:ascii="Times New Roman" w:hAnsi="Times New Roman" w:eastAsia="仿宋_GB2312" w:cs="Times New Roman"/>
          <w:i w:val="0"/>
          <w:kern w:val="2"/>
          <w:sz w:val="32"/>
          <w:szCs w:val="32"/>
          <w:lang w:val="en-US" w:eastAsia="zh-CN" w:bidi="ar-SA"/>
        </w:rPr>
        <w:t>万元。</w:t>
      </w:r>
    </w:p>
    <w:p>
      <w:pPr>
        <w:pStyle w:val="9"/>
        <w:keepNext w:val="0"/>
        <w:keepLines w:val="0"/>
        <w:pageBreakBefore w:val="0"/>
        <w:widowControl w:val="0"/>
        <w:kinsoku/>
        <w:wordWrap/>
        <w:overflowPunct/>
        <w:topLinePunct w:val="0"/>
        <w:autoSpaceDE/>
        <w:autoSpaceDN/>
        <w:bidi w:val="0"/>
        <w:adjustRightInd/>
        <w:spacing w:line="560" w:lineRule="exact"/>
        <w:ind w:firstLine="642" w:firstLineChars="200"/>
        <w:jc w:val="both"/>
        <w:textAlignment w:val="auto"/>
        <w:rPr>
          <w:rFonts w:hint="default" w:ascii="楷体" w:hAnsi="楷体" w:eastAsia="楷体" w:cs="楷体"/>
          <w:b/>
          <w:bCs/>
          <w:kern w:val="2"/>
          <w:sz w:val="32"/>
          <w:szCs w:val="32"/>
          <w:lang w:val="en-US" w:eastAsia="en-US" w:bidi="ar-SA"/>
        </w:rPr>
      </w:pPr>
      <w:r>
        <w:rPr>
          <w:rFonts w:hint="default" w:ascii="楷体" w:hAnsi="楷体" w:eastAsia="楷体" w:cs="楷体"/>
          <w:b/>
          <w:bCs/>
          <w:kern w:val="2"/>
          <w:sz w:val="32"/>
          <w:szCs w:val="32"/>
          <w:lang w:val="en-US" w:eastAsia="en-US" w:bidi="ar-SA"/>
        </w:rPr>
        <w:t>（</w:t>
      </w:r>
      <w:r>
        <w:rPr>
          <w:rFonts w:hint="eastAsia" w:ascii="楷体" w:hAnsi="楷体" w:eastAsia="楷体" w:cs="楷体"/>
          <w:b/>
          <w:bCs/>
          <w:kern w:val="2"/>
          <w:sz w:val="32"/>
          <w:szCs w:val="32"/>
          <w:lang w:val="en-US" w:eastAsia="zh-CN" w:bidi="ar-SA"/>
        </w:rPr>
        <w:t>三</w:t>
      </w:r>
      <w:r>
        <w:rPr>
          <w:rFonts w:hint="default" w:ascii="楷体" w:hAnsi="楷体" w:eastAsia="楷体" w:cs="楷体"/>
          <w:b/>
          <w:bCs/>
          <w:kern w:val="2"/>
          <w:sz w:val="32"/>
          <w:szCs w:val="32"/>
          <w:lang w:val="en-US" w:eastAsia="en-US" w:bidi="ar-SA"/>
        </w:rPr>
        <w:t>）坚守底线保安全，总体形势</w:t>
      </w:r>
      <w:r>
        <w:rPr>
          <w:rFonts w:hint="eastAsia" w:ascii="楷体" w:hAnsi="楷体" w:eastAsia="楷体" w:cs="楷体"/>
          <w:b/>
          <w:bCs/>
          <w:kern w:val="2"/>
          <w:sz w:val="32"/>
          <w:szCs w:val="32"/>
          <w:lang w:val="en-US" w:eastAsia="zh-CN" w:bidi="ar-SA"/>
        </w:rPr>
        <w:t>保持</w:t>
      </w:r>
      <w:r>
        <w:rPr>
          <w:rFonts w:hint="default" w:ascii="楷体" w:hAnsi="楷体" w:eastAsia="楷体" w:cs="楷体"/>
          <w:b/>
          <w:bCs/>
          <w:kern w:val="2"/>
          <w:sz w:val="32"/>
          <w:szCs w:val="32"/>
          <w:lang w:val="en-US" w:eastAsia="en-US" w:bidi="ar-SA"/>
        </w:rPr>
        <w:t>稳定向好。</w:t>
      </w:r>
      <w:r>
        <w:rPr>
          <w:rFonts w:hint="default" w:ascii="Times New Roman" w:hAnsi="Times New Roman" w:eastAsia="仿宋_GB2312" w:cs="Times New Roman"/>
          <w:b w:val="0"/>
          <w:bCs w:val="0"/>
          <w:spacing w:val="0"/>
          <w:kern w:val="2"/>
          <w:sz w:val="32"/>
          <w:szCs w:val="32"/>
          <w:lang w:val="en-US" w:eastAsia="zh-CN" w:bidi="ar-SA"/>
        </w:rPr>
        <w:t>一是推进食品安全标本兼治。</w:t>
      </w:r>
      <w:r>
        <w:rPr>
          <w:rFonts w:hint="default" w:ascii="Times New Roman" w:hAnsi="Times New Roman" w:eastAsia="仿宋_GB2312" w:cs="Times New Roman"/>
          <w:i w:val="0"/>
          <w:kern w:val="0"/>
          <w:sz w:val="32"/>
          <w:szCs w:val="32"/>
          <w:lang w:val="en-US" w:eastAsia="zh-CN" w:bidi="ar-SA"/>
        </w:rPr>
        <w:t>逗硬落实进口冷链食品</w:t>
      </w:r>
      <w:r>
        <w:rPr>
          <w:rFonts w:hint="eastAsia" w:ascii="Times New Roman" w:hAnsi="Times New Roman" w:eastAsia="仿宋_GB2312" w:cs="Times New Roman"/>
          <w:i w:val="0"/>
          <w:kern w:val="0"/>
          <w:sz w:val="32"/>
          <w:szCs w:val="32"/>
          <w:lang w:val="en-US" w:eastAsia="zh-CN" w:bidi="ar-SA"/>
        </w:rPr>
        <w:t>“</w:t>
      </w:r>
      <w:r>
        <w:rPr>
          <w:rFonts w:hint="default" w:ascii="Times New Roman" w:hAnsi="Times New Roman" w:eastAsia="仿宋_GB2312" w:cs="Times New Roman"/>
          <w:i w:val="0"/>
          <w:kern w:val="0"/>
          <w:sz w:val="32"/>
          <w:szCs w:val="32"/>
          <w:lang w:val="en-US" w:eastAsia="zh-CN" w:bidi="ar-SA"/>
        </w:rPr>
        <w:t>双预约</w:t>
      </w:r>
      <w:r>
        <w:rPr>
          <w:rFonts w:hint="eastAsia" w:ascii="Times New Roman" w:hAnsi="Times New Roman" w:eastAsia="仿宋_GB2312" w:cs="Times New Roman"/>
          <w:i w:val="0"/>
          <w:kern w:val="0"/>
          <w:sz w:val="32"/>
          <w:szCs w:val="32"/>
          <w:lang w:val="en-US" w:eastAsia="zh-CN" w:bidi="ar-SA"/>
        </w:rPr>
        <w:t>”“</w:t>
      </w:r>
      <w:r>
        <w:rPr>
          <w:rFonts w:hint="default" w:ascii="Times New Roman" w:hAnsi="Times New Roman" w:eastAsia="仿宋_GB2312" w:cs="Times New Roman"/>
          <w:i w:val="0"/>
          <w:kern w:val="0"/>
          <w:sz w:val="32"/>
          <w:szCs w:val="32"/>
          <w:lang w:val="en-US" w:eastAsia="zh-CN" w:bidi="ar-SA"/>
        </w:rPr>
        <w:t>双备案</w:t>
      </w:r>
      <w:r>
        <w:rPr>
          <w:rFonts w:hint="eastAsia" w:ascii="Times New Roman" w:hAnsi="Times New Roman" w:eastAsia="仿宋_GB2312" w:cs="Times New Roman"/>
          <w:i w:val="0"/>
          <w:kern w:val="0"/>
          <w:sz w:val="32"/>
          <w:szCs w:val="32"/>
          <w:lang w:val="en-US" w:eastAsia="zh-CN" w:bidi="ar-SA"/>
        </w:rPr>
        <w:t>”</w:t>
      </w:r>
      <w:r>
        <w:rPr>
          <w:rFonts w:hint="default" w:ascii="Times New Roman" w:hAnsi="Times New Roman" w:eastAsia="仿宋_GB2312" w:cs="Times New Roman"/>
          <w:i w:val="0"/>
          <w:kern w:val="0"/>
          <w:sz w:val="32"/>
          <w:szCs w:val="32"/>
          <w:lang w:val="en-US" w:eastAsia="zh-CN" w:bidi="ar-SA"/>
        </w:rPr>
        <w:t>管理，举行冷链物流疫情防控应急演练，没有发生冷链物流传播疫情事</w:t>
      </w:r>
      <w:r>
        <w:rPr>
          <w:rFonts w:hint="default" w:ascii="Times New Roman" w:hAnsi="Times New Roman" w:eastAsia="仿宋_GB2312" w:cs="Times New Roman"/>
          <w:sz w:val="32"/>
          <w:szCs w:val="32"/>
          <w:lang w:val="en-US" w:eastAsia="zh-CN"/>
        </w:rPr>
        <w:t>件。</w:t>
      </w:r>
      <w:r>
        <w:rPr>
          <w:rFonts w:hint="eastAsia" w:ascii="Times New Roman" w:hAnsi="Times New Roman" w:eastAsia="仿宋_GB2312" w:cs="Times New Roman"/>
          <w:sz w:val="32"/>
          <w:szCs w:val="32"/>
          <w:lang w:val="en-US" w:eastAsia="zh-CN"/>
        </w:rPr>
        <w:t>乡镇食品安全“穿透式”监管试点、食品销售企业体系检查两项工作测评得分位居全省前列。创新推进食品安全“两个责任”工作机制落实落地，工作经验得到国家调研组和省局领导肯定。完成省级、市级食品和市级食用农产品抽检1880批次，发现不合格食品177批次，省级评价性抽检完成98%。</w:t>
      </w:r>
      <w:r>
        <w:rPr>
          <w:rFonts w:hint="default" w:ascii="Times New Roman" w:hAnsi="Times New Roman" w:eastAsia="仿宋_GB2312" w:cs="Times New Roman"/>
          <w:sz w:val="32"/>
          <w:szCs w:val="32"/>
          <w:lang w:val="en-US" w:eastAsia="zh-CN"/>
        </w:rPr>
        <w:t>深入开展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守底线、查隐患、保安全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、农村地区食品安全、农村自办宴席专项行动，</w:t>
      </w:r>
      <w:r>
        <w:rPr>
          <w:rFonts w:hint="eastAsia" w:ascii="Times New Roman" w:hAnsi="Times New Roman" w:eastAsia="仿宋_GB2312" w:cs="Times New Roman"/>
          <w:b w:val="0"/>
          <w:bCs/>
          <w:color w:val="000000"/>
          <w:spacing w:val="0"/>
          <w:kern w:val="2"/>
          <w:sz w:val="32"/>
          <w:szCs w:val="32"/>
          <w:u w:val="none"/>
          <w:lang w:val="en-US" w:eastAsia="zh-CN" w:bidi="ar-SA"/>
        </w:rPr>
        <w:t>排查消除隐患5057个，立案查处违法案件1385件。</w:t>
      </w:r>
      <w:r>
        <w:rPr>
          <w:rFonts w:hint="default" w:ascii="Times New Roman" w:hAnsi="Times New Roman" w:eastAsia="仿宋_GB2312" w:cs="Times New Roman"/>
          <w:sz w:val="32"/>
          <w:szCs w:val="32"/>
          <w:lang w:val="en-US" w:eastAsia="zh-CN"/>
        </w:rPr>
        <w:t>四川龙一药品公司平昌方便分店经营添加药品的食品案、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假冒通江银耳案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等受到国家总局、公安部肯定。</w:t>
      </w:r>
      <w:r>
        <w:rPr>
          <w:rFonts w:hint="default" w:ascii="Times New Roman" w:hAnsi="Times New Roman" w:eastAsia="仿宋_GB2312" w:cs="Times New Roman"/>
          <w:b w:val="0"/>
          <w:bCs w:val="0"/>
          <w:kern w:val="2"/>
          <w:sz w:val="32"/>
          <w:szCs w:val="32"/>
          <w:lang w:val="en-US" w:eastAsia="zh-CN" w:bidi="ar-SA"/>
        </w:rPr>
        <w:t>二是强化药械安全监管执法。</w:t>
      </w:r>
      <w:r>
        <w:rPr>
          <w:rFonts w:hint="eastAsia" w:ascii="Times New Roman" w:hAnsi="Times New Roman" w:eastAsia="仿宋_GB2312" w:cs="Times New Roman"/>
          <w:kern w:val="2"/>
          <w:sz w:val="32"/>
          <w:szCs w:val="32"/>
          <w:lang w:val="en-US" w:eastAsia="zh-CN" w:bidi="ar-SA"/>
        </w:rPr>
        <w:t>加强</w:t>
      </w:r>
      <w:r>
        <w:rPr>
          <w:rFonts w:hint="default" w:ascii="Times New Roman" w:hAnsi="Times New Roman" w:eastAsia="仿宋_GB2312" w:cs="Times New Roman"/>
          <w:spacing w:val="0"/>
          <w:kern w:val="2"/>
          <w:sz w:val="32"/>
          <w:szCs w:val="32"/>
          <w:lang w:val="en-US" w:eastAsia="zh-CN" w:bidi="ar-SA"/>
        </w:rPr>
        <w:t>新冠病毒疫苗、核酸检测试剂、抗原检测试剂</w:t>
      </w:r>
      <w:r>
        <w:rPr>
          <w:rFonts w:hint="eastAsia" w:ascii="Times New Roman" w:hAnsi="Times New Roman" w:eastAsia="仿宋_GB2312" w:cs="Times New Roman"/>
          <w:spacing w:val="0"/>
          <w:kern w:val="2"/>
          <w:sz w:val="32"/>
          <w:szCs w:val="32"/>
          <w:lang w:val="en-US" w:eastAsia="zh-CN" w:bidi="ar-SA"/>
        </w:rPr>
        <w:t>流通使用环节监督管理，检查市场主体</w:t>
      </w:r>
      <w:r>
        <w:rPr>
          <w:rFonts w:hint="default" w:ascii="Times New Roman" w:hAnsi="Times New Roman" w:eastAsia="仿宋_GB2312" w:cs="Times New Roman"/>
          <w:spacing w:val="0"/>
          <w:kern w:val="2"/>
          <w:sz w:val="32"/>
          <w:szCs w:val="32"/>
          <w:lang w:val="en-US" w:eastAsia="zh-CN" w:bidi="ar-SA"/>
        </w:rPr>
        <w:t>328家次。</w:t>
      </w:r>
      <w:r>
        <w:rPr>
          <w:rFonts w:hint="eastAsia" w:ascii="Times New Roman" w:hAnsi="Times New Roman" w:eastAsia="仿宋_GB2312" w:cs="Times New Roman"/>
          <w:spacing w:val="0"/>
          <w:kern w:val="2"/>
          <w:sz w:val="32"/>
          <w:szCs w:val="32"/>
          <w:lang w:val="en-US" w:eastAsia="zh-CN" w:bidi="ar-SA"/>
        </w:rPr>
        <w:t>深入开展药品安全专项整治，检查药械化经营使用单位10400余次，立案查处案件505件，处罚款347.64万元，</w:t>
      </w:r>
      <w:r>
        <w:rPr>
          <w:rFonts w:hint="default" w:ascii="Times New Roman" w:hAnsi="Times New Roman" w:eastAsia="仿宋_GB2312" w:cs="Times New Roman"/>
          <w:spacing w:val="0"/>
          <w:kern w:val="2"/>
          <w:sz w:val="32"/>
          <w:szCs w:val="32"/>
          <w:lang w:val="en-US" w:eastAsia="zh-CN" w:bidi="ar-SA"/>
        </w:rPr>
        <w:t>移送司法机关案件15件</w:t>
      </w:r>
      <w:r>
        <w:rPr>
          <w:rFonts w:hint="eastAsia" w:ascii="Times New Roman" w:hAnsi="Times New Roman" w:eastAsia="仿宋_GB2312" w:cs="Times New Roman"/>
          <w:spacing w:val="0"/>
          <w:kern w:val="2"/>
          <w:sz w:val="32"/>
          <w:szCs w:val="32"/>
          <w:lang w:val="en-US" w:eastAsia="zh-CN" w:bidi="ar-SA"/>
        </w:rPr>
        <w:t>。完成药械化监督抽检285批次，收集上报药械化安全性监测报告5114例，有效防范药品安全风险。</w:t>
      </w:r>
      <w:r>
        <w:rPr>
          <w:rFonts w:hint="eastAsia" w:ascii="Times New Roman" w:hAnsi="Times New Roman" w:eastAsia="仿宋_GB2312" w:cs="Times New Roman"/>
          <w:b w:val="0"/>
          <w:bCs w:val="0"/>
          <w:spacing w:val="0"/>
          <w:kern w:val="2"/>
          <w:sz w:val="32"/>
          <w:szCs w:val="32"/>
          <w:lang w:val="en-US" w:eastAsia="zh-CN" w:bidi="ar-SA"/>
        </w:rPr>
        <w:t>四</w:t>
      </w:r>
      <w:r>
        <w:rPr>
          <w:rFonts w:hint="default" w:ascii="Times New Roman" w:hAnsi="Times New Roman" w:eastAsia="仿宋_GB2312" w:cs="Times New Roman"/>
          <w:b w:val="0"/>
          <w:bCs w:val="0"/>
          <w:spacing w:val="0"/>
          <w:kern w:val="2"/>
          <w:sz w:val="32"/>
          <w:szCs w:val="32"/>
          <w:lang w:val="en-US" w:eastAsia="zh-CN" w:bidi="ar-SA"/>
        </w:rPr>
        <w:t>是强化特种设备</w:t>
      </w:r>
      <w:r>
        <w:rPr>
          <w:rFonts w:hint="eastAsia" w:ascii="Times New Roman" w:hAnsi="Times New Roman" w:eastAsia="仿宋_GB2312" w:cs="Times New Roman"/>
          <w:b w:val="0"/>
          <w:bCs w:val="0"/>
          <w:spacing w:val="0"/>
          <w:kern w:val="2"/>
          <w:sz w:val="32"/>
          <w:szCs w:val="32"/>
          <w:lang w:val="en-US" w:eastAsia="zh-CN" w:bidi="ar-SA"/>
        </w:rPr>
        <w:t>安全监管执法</w:t>
      </w:r>
      <w:r>
        <w:rPr>
          <w:rFonts w:hint="default" w:ascii="Times New Roman" w:hAnsi="Times New Roman" w:eastAsia="仿宋_GB2312" w:cs="Times New Roman"/>
          <w:b w:val="0"/>
          <w:bCs w:val="0"/>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开展城镇燃气安全整治，检查燃气充装、检验及相关特种设备使用单位84家、燃气具生产经营企业333家</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完成</w:t>
      </w:r>
      <w:r>
        <w:rPr>
          <w:rFonts w:hint="eastAsia" w:ascii="Times New Roman" w:hAnsi="Times New Roman" w:eastAsia="仿宋_GB2312" w:cs="Times New Roman"/>
          <w:spacing w:val="0"/>
          <w:kern w:val="2"/>
          <w:sz w:val="32"/>
          <w:szCs w:val="32"/>
          <w:lang w:val="en-US" w:eastAsia="zh-CN" w:bidi="ar-SA"/>
        </w:rPr>
        <w:t>公用</w:t>
      </w:r>
      <w:r>
        <w:rPr>
          <w:rFonts w:hint="default" w:ascii="Times New Roman" w:hAnsi="Times New Roman" w:eastAsia="仿宋_GB2312" w:cs="Times New Roman"/>
          <w:spacing w:val="0"/>
          <w:kern w:val="2"/>
          <w:sz w:val="32"/>
          <w:szCs w:val="32"/>
          <w:lang w:val="en-US" w:eastAsia="zh-CN" w:bidi="ar-SA"/>
        </w:rPr>
        <w:t>燃气压力管道</w:t>
      </w:r>
      <w:r>
        <w:rPr>
          <w:rFonts w:hint="eastAsia" w:ascii="Times New Roman" w:hAnsi="Times New Roman" w:eastAsia="仿宋_GB2312" w:cs="Times New Roman"/>
          <w:spacing w:val="0"/>
          <w:kern w:val="2"/>
          <w:sz w:val="32"/>
          <w:szCs w:val="32"/>
          <w:lang w:val="en-US" w:eastAsia="zh-CN" w:bidi="ar-SA"/>
        </w:rPr>
        <w:t>3034.17</w:t>
      </w:r>
      <w:r>
        <w:rPr>
          <w:rFonts w:hint="default" w:ascii="Times New Roman" w:hAnsi="Times New Roman" w:eastAsia="仿宋_GB2312" w:cs="Times New Roman"/>
          <w:spacing w:val="0"/>
          <w:kern w:val="2"/>
          <w:sz w:val="32"/>
          <w:szCs w:val="32"/>
          <w:lang w:val="en-US" w:eastAsia="zh-CN" w:bidi="ar-SA"/>
        </w:rPr>
        <w:t>公里法定检验任务。</w:t>
      </w:r>
      <w:r>
        <w:rPr>
          <w:rFonts w:hint="eastAsia" w:ascii="Times New Roman" w:hAnsi="Times New Roman" w:eastAsia="仿宋_GB2312" w:cs="Times New Roman"/>
          <w:spacing w:val="0"/>
          <w:kern w:val="2"/>
          <w:sz w:val="32"/>
          <w:szCs w:val="32"/>
          <w:lang w:val="en-US" w:eastAsia="zh-CN" w:bidi="ar-SA"/>
        </w:rPr>
        <w:t>加强</w:t>
      </w:r>
      <w:r>
        <w:rPr>
          <w:rFonts w:hint="default" w:ascii="Times New Roman" w:hAnsi="Times New Roman" w:eastAsia="仿宋_GB2312" w:cs="Times New Roman"/>
          <w:spacing w:val="0"/>
          <w:kern w:val="2"/>
          <w:sz w:val="32"/>
          <w:szCs w:val="32"/>
          <w:lang w:val="en-US" w:eastAsia="zh-CN" w:bidi="ar-SA"/>
        </w:rPr>
        <w:t>危化品特种设备安全风险集中治理、超期未检专项整治和高温天</w:t>
      </w:r>
      <w:r>
        <w:rPr>
          <w:rFonts w:hint="eastAsia" w:ascii="Times New Roman" w:hAnsi="Times New Roman" w:eastAsia="仿宋_GB2312" w:cs="Times New Roman"/>
          <w:spacing w:val="0"/>
          <w:kern w:val="2"/>
          <w:sz w:val="32"/>
          <w:szCs w:val="32"/>
          <w:lang w:val="en-US" w:eastAsia="zh-CN" w:bidi="ar-SA"/>
        </w:rPr>
        <w:t>气</w:t>
      </w:r>
      <w:r>
        <w:rPr>
          <w:rFonts w:hint="default" w:ascii="Times New Roman" w:hAnsi="Times New Roman" w:eastAsia="仿宋_GB2312" w:cs="Times New Roman"/>
          <w:spacing w:val="0"/>
          <w:kern w:val="2"/>
          <w:sz w:val="32"/>
          <w:szCs w:val="32"/>
          <w:lang w:val="en-US" w:eastAsia="zh-CN" w:bidi="ar-SA"/>
        </w:rPr>
        <w:t>下特种设备运行风险防范，检查生产经营使用单位240家、特种设备4276台(套)，排查消除隐患60余处，对71台超期未检设备分类落实处置措施。全面升级特种设备综合管理平台，气瓶追溯体系平台基本覆盖</w:t>
      </w:r>
      <w:r>
        <w:rPr>
          <w:rFonts w:hint="eastAsia" w:ascii="Times New Roman" w:hAnsi="Times New Roman" w:eastAsia="仿宋_GB2312" w:cs="Times New Roman"/>
          <w:spacing w:val="0"/>
          <w:kern w:val="2"/>
          <w:sz w:val="32"/>
          <w:szCs w:val="32"/>
          <w:lang w:val="en-US" w:eastAsia="zh-CN" w:bidi="ar-SA"/>
        </w:rPr>
        <w:t>18</w:t>
      </w:r>
      <w:r>
        <w:rPr>
          <w:rFonts w:hint="default" w:ascii="Times New Roman" w:hAnsi="Times New Roman" w:eastAsia="仿宋_GB2312" w:cs="Times New Roman"/>
          <w:spacing w:val="0"/>
          <w:kern w:val="2"/>
          <w:sz w:val="32"/>
          <w:szCs w:val="32"/>
          <w:lang w:val="en-US" w:eastAsia="zh-CN" w:bidi="ar-SA"/>
        </w:rPr>
        <w:t>家液化石油气瓶充装单位</w:t>
      </w:r>
      <w:r>
        <w:rPr>
          <w:rFonts w:hint="eastAsia" w:ascii="Times New Roman" w:hAnsi="Times New Roman" w:eastAsia="仿宋_GB2312" w:cs="Times New Roman"/>
          <w:spacing w:val="0"/>
          <w:kern w:val="2"/>
          <w:sz w:val="32"/>
          <w:szCs w:val="32"/>
          <w:lang w:val="en-US" w:eastAsia="zh-CN" w:bidi="ar-SA"/>
        </w:rPr>
        <w:t>，电梯应急处置服务平台装修项目和软硬件系统项目顺利通过专家组验收。</w:t>
      </w:r>
      <w:r>
        <w:rPr>
          <w:rFonts w:hint="default" w:ascii="Times New Roman" w:hAnsi="Times New Roman" w:eastAsia="仿宋_GB2312" w:cs="Times New Roman"/>
          <w:b w:val="0"/>
          <w:bCs w:val="0"/>
          <w:kern w:val="2"/>
          <w:sz w:val="32"/>
          <w:szCs w:val="32"/>
          <w:lang w:val="en-US" w:eastAsia="zh-CN" w:bidi="ar-SA"/>
        </w:rPr>
        <w:t>四是加强工业产品质量监管。</w:t>
      </w:r>
      <w:r>
        <w:rPr>
          <w:rFonts w:hint="default" w:ascii="Times New Roman" w:hAnsi="Times New Roman" w:eastAsia="仿宋_GB2312" w:cs="Times New Roman"/>
          <w:spacing w:val="0"/>
          <w:kern w:val="2"/>
          <w:sz w:val="32"/>
          <w:szCs w:val="32"/>
          <w:lang w:val="en-US" w:eastAsia="zh-CN" w:bidi="ar-SA"/>
        </w:rPr>
        <w:t>完成省级和日用品市级监督抽查任务410批次，</w:t>
      </w:r>
      <w:r>
        <w:rPr>
          <w:rFonts w:hint="eastAsia" w:ascii="Times New Roman" w:hAnsi="Times New Roman" w:eastAsia="仿宋_GB2312" w:cs="Times New Roman"/>
          <w:spacing w:val="0"/>
          <w:kern w:val="2"/>
          <w:sz w:val="32"/>
          <w:szCs w:val="32"/>
          <w:lang w:val="en-US" w:eastAsia="zh-CN" w:bidi="ar-SA"/>
        </w:rPr>
        <w:t>实施</w:t>
      </w:r>
      <w:r>
        <w:rPr>
          <w:rFonts w:hint="default" w:ascii="Times New Roman" w:hAnsi="Times New Roman" w:eastAsia="仿宋_GB2312" w:cs="Times New Roman"/>
          <w:spacing w:val="0"/>
          <w:kern w:val="2"/>
          <w:sz w:val="32"/>
          <w:szCs w:val="32"/>
          <w:lang w:val="en-US" w:eastAsia="zh-CN" w:bidi="ar-SA"/>
        </w:rPr>
        <w:t>2021年省级和日用品市级监督抽查不合格产品后处理156批次。将环保产品、危化品、农资产品等10类41种产品纳入监管目录，实施重点安全监管。开展农资产品专项整治，配合省级肥料监督抽检21批次、安排市级农产品监督检查17批次，检查经销门市38家。开展老年代步车专项整治，警示约谈销售企业19家</w:t>
      </w:r>
      <w:r>
        <w:rPr>
          <w:rFonts w:hint="eastAsia" w:ascii="Times New Roman" w:hAnsi="Times New Roman" w:eastAsia="仿宋_GB2312" w:cs="Times New Roman"/>
          <w:spacing w:val="0"/>
          <w:kern w:val="2"/>
          <w:sz w:val="32"/>
          <w:szCs w:val="32"/>
          <w:lang w:val="en-US" w:eastAsia="zh-CN" w:bidi="ar-SA"/>
        </w:rPr>
        <w:t>次</w:t>
      </w:r>
      <w:r>
        <w:rPr>
          <w:rFonts w:hint="default" w:ascii="Times New Roman" w:hAnsi="Times New Roman" w:eastAsia="仿宋_GB2312" w:cs="Times New Roman"/>
          <w:spacing w:val="0"/>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2" w:firstLineChars="200"/>
        <w:textAlignment w:val="auto"/>
        <w:rPr>
          <w:rFonts w:hint="default" w:ascii="Times New Roman" w:hAnsi="Times New Roman" w:eastAsia="仿宋_GB2312" w:cs="Times New Roman"/>
          <w:kern w:val="2"/>
          <w:sz w:val="32"/>
          <w:szCs w:val="32"/>
          <w:lang w:val="en-US" w:eastAsia="zh-CN" w:bidi="ar-SA"/>
        </w:rPr>
      </w:pPr>
      <w:r>
        <w:rPr>
          <w:rFonts w:hint="default" w:ascii="楷体" w:hAnsi="楷体" w:eastAsia="楷体" w:cs="楷体"/>
          <w:b/>
          <w:bCs/>
          <w:kern w:val="2"/>
          <w:sz w:val="32"/>
          <w:szCs w:val="32"/>
          <w:lang w:val="en-US" w:eastAsia="en-US" w:bidi="ar-SA"/>
        </w:rPr>
        <w:t>（</w:t>
      </w:r>
      <w:r>
        <w:rPr>
          <w:rFonts w:hint="eastAsia" w:ascii="楷体" w:hAnsi="楷体" w:eastAsia="楷体" w:cs="楷体"/>
          <w:b/>
          <w:bCs/>
          <w:kern w:val="2"/>
          <w:sz w:val="32"/>
          <w:szCs w:val="32"/>
          <w:lang w:val="en-US" w:eastAsia="zh-CN" w:bidi="ar-SA"/>
        </w:rPr>
        <w:t>四</w:t>
      </w:r>
      <w:r>
        <w:rPr>
          <w:rFonts w:hint="default" w:ascii="楷体" w:hAnsi="楷体" w:eastAsia="楷体" w:cs="楷体"/>
          <w:b/>
          <w:bCs/>
          <w:kern w:val="2"/>
          <w:sz w:val="32"/>
          <w:szCs w:val="32"/>
          <w:lang w:val="en-US" w:eastAsia="en-US" w:bidi="ar-SA"/>
        </w:rPr>
        <w:t>）蹄疾步稳抓改革，</w:t>
      </w:r>
      <w:r>
        <w:rPr>
          <w:rFonts w:hint="eastAsia" w:ascii="楷体" w:hAnsi="楷体" w:eastAsia="楷体" w:cs="楷体"/>
          <w:b/>
          <w:bCs/>
          <w:kern w:val="2"/>
          <w:sz w:val="32"/>
          <w:szCs w:val="32"/>
          <w:lang w:val="en-US" w:eastAsia="zh-CN" w:bidi="ar-SA"/>
        </w:rPr>
        <w:t>推动</w:t>
      </w:r>
      <w:r>
        <w:rPr>
          <w:rFonts w:hint="default" w:ascii="楷体" w:hAnsi="楷体" w:eastAsia="楷体" w:cs="楷体"/>
          <w:b/>
          <w:bCs/>
          <w:kern w:val="2"/>
          <w:sz w:val="32"/>
          <w:szCs w:val="32"/>
          <w:lang w:val="en-US" w:eastAsia="en-US" w:bidi="ar-SA"/>
        </w:rPr>
        <w:t>营商环境</w:t>
      </w:r>
      <w:r>
        <w:rPr>
          <w:rFonts w:hint="eastAsia" w:ascii="楷体" w:hAnsi="楷体" w:eastAsia="楷体" w:cs="楷体"/>
          <w:b/>
          <w:bCs/>
          <w:kern w:val="2"/>
          <w:sz w:val="32"/>
          <w:szCs w:val="32"/>
          <w:lang w:val="en-US" w:eastAsia="zh-CN" w:bidi="ar-SA"/>
        </w:rPr>
        <w:t>优化升级</w:t>
      </w:r>
      <w:r>
        <w:rPr>
          <w:rFonts w:hint="default" w:ascii="楷体" w:hAnsi="楷体" w:eastAsia="楷体" w:cs="楷体"/>
          <w:b/>
          <w:bCs/>
          <w:kern w:val="2"/>
          <w:sz w:val="32"/>
          <w:szCs w:val="32"/>
          <w:lang w:val="en-US" w:eastAsia="en-US" w:bidi="ar-SA"/>
        </w:rPr>
        <w:t>。</w:t>
      </w:r>
      <w:r>
        <w:rPr>
          <w:rFonts w:hint="default" w:ascii="Times New Roman" w:hAnsi="Times New Roman" w:eastAsia="仿宋_GB2312" w:cs="Times New Roman"/>
          <w:b w:val="0"/>
          <w:bCs w:val="0"/>
          <w:color w:val="000000"/>
          <w:kern w:val="0"/>
          <w:sz w:val="32"/>
          <w:szCs w:val="32"/>
          <w:lang w:val="en-US" w:eastAsia="zh-CN" w:bidi="ar"/>
        </w:rPr>
        <w:t>一是</w:t>
      </w:r>
      <w:r>
        <w:rPr>
          <w:rFonts w:hint="eastAsia" w:ascii="Times New Roman" w:hAnsi="Times New Roman" w:eastAsia="仿宋_GB2312" w:cs="Times New Roman"/>
          <w:b w:val="0"/>
          <w:bCs w:val="0"/>
          <w:color w:val="000000"/>
          <w:kern w:val="0"/>
          <w:sz w:val="32"/>
          <w:szCs w:val="32"/>
          <w:lang w:val="en-US" w:eastAsia="zh-CN" w:bidi="ar"/>
        </w:rPr>
        <w:t>深化</w:t>
      </w:r>
      <w:r>
        <w:rPr>
          <w:rFonts w:hint="default" w:ascii="Times New Roman" w:hAnsi="Times New Roman" w:eastAsia="仿宋_GB2312" w:cs="Times New Roman"/>
          <w:b w:val="0"/>
          <w:bCs w:val="0"/>
          <w:color w:val="000000"/>
          <w:kern w:val="0"/>
          <w:sz w:val="32"/>
          <w:szCs w:val="32"/>
          <w:lang w:val="en-US" w:eastAsia="zh-CN" w:bidi="ar"/>
        </w:rPr>
        <w:t>商事制度改革。</w:t>
      </w:r>
      <w:r>
        <w:rPr>
          <w:rFonts w:hint="default" w:ascii="Times New Roman" w:hAnsi="Times New Roman" w:eastAsia="仿宋_GB2312" w:cs="Times New Roman"/>
          <w:i w:val="0"/>
          <w:kern w:val="2"/>
          <w:sz w:val="32"/>
          <w:szCs w:val="32"/>
          <w:lang w:val="en-US" w:eastAsia="zh-CN" w:bidi="ar-SA"/>
        </w:rPr>
        <w:t>深入推进</w:t>
      </w:r>
      <w:r>
        <w:rPr>
          <w:rFonts w:hint="eastAsia" w:ascii="Times New Roman" w:hAnsi="Times New Roman" w:eastAsia="仿宋_GB2312" w:cs="Times New Roman"/>
          <w:i w:val="0"/>
          <w:kern w:val="2"/>
          <w:sz w:val="32"/>
          <w:szCs w:val="32"/>
          <w:lang w:val="en-US" w:eastAsia="zh-CN" w:bidi="ar-SA"/>
        </w:rPr>
        <w:t>“</w:t>
      </w:r>
      <w:r>
        <w:rPr>
          <w:rFonts w:hint="default" w:ascii="Times New Roman" w:hAnsi="Times New Roman" w:eastAsia="仿宋_GB2312" w:cs="Times New Roman"/>
          <w:i w:val="0"/>
          <w:kern w:val="2"/>
          <w:sz w:val="32"/>
          <w:szCs w:val="32"/>
          <w:lang w:val="en-US" w:eastAsia="zh-CN" w:bidi="ar-SA"/>
        </w:rPr>
        <w:t>证照分离</w:t>
      </w:r>
      <w:r>
        <w:rPr>
          <w:rFonts w:hint="eastAsia" w:ascii="Times New Roman" w:hAnsi="Times New Roman" w:eastAsia="仿宋_GB2312" w:cs="Times New Roman"/>
          <w:i w:val="0"/>
          <w:kern w:val="2"/>
          <w:sz w:val="32"/>
          <w:szCs w:val="32"/>
          <w:lang w:val="en-US" w:eastAsia="zh-CN" w:bidi="ar-SA"/>
        </w:rPr>
        <w:t>”全覆盖改革，把112项涉企经营许可事项全覆盖纳入清单管理。将</w:t>
      </w:r>
      <w:r>
        <w:rPr>
          <w:rFonts w:hint="default" w:ascii="Times New Roman" w:hAnsi="Times New Roman" w:eastAsia="仿宋_GB2312" w:cs="Times New Roman"/>
          <w:i w:val="0"/>
          <w:kern w:val="2"/>
          <w:sz w:val="32"/>
          <w:szCs w:val="32"/>
          <w:lang w:val="en-US" w:eastAsia="zh-CN" w:bidi="ar-SA"/>
        </w:rPr>
        <w:t>涉及跨层级跨部门的</w:t>
      </w:r>
      <w:r>
        <w:rPr>
          <w:rFonts w:hint="eastAsia" w:ascii="Times New Roman" w:hAnsi="Times New Roman" w:eastAsia="仿宋_GB2312" w:cs="Times New Roman"/>
          <w:i w:val="0"/>
          <w:kern w:val="2"/>
          <w:sz w:val="32"/>
          <w:szCs w:val="32"/>
          <w:lang w:val="en-US" w:eastAsia="zh-CN" w:bidi="ar-SA"/>
        </w:rPr>
        <w:t>“准营”</w:t>
      </w:r>
      <w:r>
        <w:rPr>
          <w:rFonts w:hint="default" w:ascii="Times New Roman" w:hAnsi="Times New Roman" w:eastAsia="仿宋_GB2312" w:cs="Times New Roman"/>
          <w:i w:val="0"/>
          <w:kern w:val="2"/>
          <w:sz w:val="32"/>
          <w:szCs w:val="32"/>
          <w:lang w:val="en-US" w:eastAsia="zh-CN" w:bidi="ar-SA"/>
        </w:rPr>
        <w:t>审批事项</w:t>
      </w:r>
      <w:r>
        <w:rPr>
          <w:rFonts w:hint="eastAsia" w:ascii="Times New Roman" w:hAnsi="Times New Roman" w:eastAsia="仿宋_GB2312" w:cs="Times New Roman"/>
          <w:i w:val="0"/>
          <w:kern w:val="2"/>
          <w:sz w:val="32"/>
          <w:szCs w:val="32"/>
          <w:lang w:val="en-US" w:eastAsia="zh-CN" w:bidi="ar-SA"/>
        </w:rPr>
        <w:t>进行归并整合，开办企业、开饭店、开超市、企业简易注销4件事实现“一件事一次办”。</w:t>
      </w:r>
      <w:r>
        <w:rPr>
          <w:rFonts w:hint="eastAsia" w:ascii="Times New Roman" w:hAnsi="Times New Roman" w:eastAsia="仿宋_GB2312" w:cs="Times New Roman"/>
          <w:kern w:val="2"/>
          <w:sz w:val="32"/>
          <w:szCs w:val="32"/>
          <w:lang w:val="en-US" w:eastAsia="zh-CN" w:bidi="ar-SA"/>
        </w:rPr>
        <w:t>推行企业登记“</w:t>
      </w:r>
      <w:r>
        <w:rPr>
          <w:rFonts w:hint="default" w:ascii="Times New Roman" w:hAnsi="Times New Roman" w:eastAsia="仿宋_GB2312" w:cs="Times New Roman"/>
          <w:i w:val="0"/>
          <w:kern w:val="2"/>
          <w:sz w:val="32"/>
          <w:szCs w:val="32"/>
          <w:lang w:val="en-US" w:eastAsia="zh-CN" w:bidi="ar-SA"/>
        </w:rPr>
        <w:t>小时清单制</w:t>
      </w:r>
      <w:r>
        <w:rPr>
          <w:rFonts w:hint="eastAsia" w:ascii="Times New Roman" w:hAnsi="Times New Roman" w:eastAsia="仿宋_GB2312" w:cs="Times New Roman"/>
          <w:i w:val="0"/>
          <w:kern w:val="2"/>
          <w:sz w:val="32"/>
          <w:szCs w:val="32"/>
          <w:lang w:val="en-US" w:eastAsia="zh-CN" w:bidi="ar-SA"/>
        </w:rPr>
        <w:t>”经验做法在全省宣传推广。南江、旺苍两···地主体准入、信用监管实现“跨区域通办”。提供印章免费刻制及寄递服务，为4515家新开办企业减轻负担370.23万元。</w:t>
      </w:r>
      <w:r>
        <w:rPr>
          <w:rFonts w:hint="eastAsia" w:ascii="Times New Roman" w:hAnsi="Times New Roman" w:eastAsia="仿宋_GB2312" w:cs="Times New Roman"/>
          <w:b w:val="0"/>
          <w:bCs w:val="0"/>
          <w:color w:val="000000"/>
          <w:kern w:val="0"/>
          <w:sz w:val="32"/>
          <w:szCs w:val="32"/>
          <w:lang w:val="en-US" w:eastAsia="zh-CN" w:bidi="ar"/>
        </w:rPr>
        <w:t>二是健全长效监管机制。</w:t>
      </w:r>
      <w:r>
        <w:rPr>
          <w:rFonts w:hint="eastAsia" w:ascii="Times New Roman" w:hAnsi="Times New Roman" w:eastAsia="仿宋_GB2312" w:cs="Times New Roman"/>
          <w:kern w:val="2"/>
          <w:sz w:val="32"/>
          <w:szCs w:val="32"/>
          <w:lang w:val="en-US" w:eastAsia="zh-CN" w:bidi="ar-SA"/>
        </w:rPr>
        <w:t>推行以“双随机、一公开”</w:t>
      </w:r>
      <w:r>
        <w:rPr>
          <w:rFonts w:hint="default" w:ascii="Times New Roman" w:hAnsi="Times New Roman" w:eastAsia="仿宋_GB2312" w:cs="Times New Roman"/>
          <w:kern w:val="2"/>
          <w:sz w:val="32"/>
          <w:szCs w:val="32"/>
          <w:lang w:val="en-US" w:eastAsia="zh-CN" w:bidi="ar-SA"/>
        </w:rPr>
        <w:t>监管</w:t>
      </w:r>
      <w:r>
        <w:rPr>
          <w:rFonts w:hint="eastAsia" w:ascii="Times New Roman" w:hAnsi="Times New Roman" w:eastAsia="仿宋_GB2312" w:cs="Times New Roman"/>
          <w:kern w:val="2"/>
          <w:sz w:val="32"/>
          <w:szCs w:val="32"/>
          <w:lang w:val="en-US" w:eastAsia="zh-CN" w:bidi="ar-SA"/>
        </w:rPr>
        <w:t>为基本手段、以重点监管为补充、以信用监管为基础的监管机制，全系统制定“双随机、一公开”抽查计划70个，抽查检查市场主体2467户。强化信用依法审查和失信惩戒，新列入严重违法失信名单和经营异常名录企业</w:t>
      </w:r>
      <w:r>
        <w:rPr>
          <w:rFonts w:hint="default" w:ascii="Times New Roman" w:hAnsi="Times New Roman" w:eastAsia="仿宋_GB2312" w:cs="Times New Roman"/>
          <w:kern w:val="2"/>
          <w:sz w:val="32"/>
          <w:szCs w:val="32"/>
          <w:lang w:val="en-US" w:eastAsia="zh-CN" w:bidi="ar-SA"/>
        </w:rPr>
        <w:t>2157</w:t>
      </w:r>
      <w:r>
        <w:rPr>
          <w:rFonts w:hint="eastAsia" w:ascii="Times New Roman" w:hAnsi="Times New Roman" w:eastAsia="仿宋_GB2312" w:cs="Times New Roman"/>
          <w:kern w:val="2"/>
          <w:sz w:val="32"/>
          <w:szCs w:val="32"/>
          <w:lang w:val="en-US" w:eastAsia="zh-CN" w:bidi="ar-SA"/>
        </w:rPr>
        <w:t>户，</w:t>
      </w:r>
      <w:r>
        <w:rPr>
          <w:rFonts w:hint="eastAsia" w:ascii="Times New Roman" w:hAnsi="Times New Roman" w:eastAsia="仿宋_GB2312" w:cs="Times New Roman"/>
          <w:i w:val="0"/>
          <w:kern w:val="2"/>
          <w:sz w:val="32"/>
          <w:szCs w:val="32"/>
          <w:lang w:val="en-US" w:eastAsia="zh-CN" w:bidi="ar-SA"/>
        </w:rPr>
        <w:t>移出</w:t>
      </w:r>
      <w:r>
        <w:rPr>
          <w:rFonts w:hint="default" w:ascii="Times New Roman" w:hAnsi="Times New Roman" w:eastAsia="仿宋_GB2312" w:cs="Times New Roman"/>
          <w:i w:val="0"/>
          <w:kern w:val="2"/>
          <w:sz w:val="32"/>
          <w:szCs w:val="32"/>
          <w:lang w:val="en-US" w:eastAsia="zh-CN" w:bidi="ar-SA"/>
        </w:rPr>
        <w:t>1142</w:t>
      </w:r>
      <w:r>
        <w:rPr>
          <w:rFonts w:hint="eastAsia" w:ascii="Times New Roman" w:hAnsi="Times New Roman" w:eastAsia="仿宋_GB2312" w:cs="Times New Roman"/>
          <w:i w:val="0"/>
          <w:kern w:val="2"/>
          <w:sz w:val="32"/>
          <w:szCs w:val="32"/>
          <w:lang w:val="en-US" w:eastAsia="zh-CN" w:bidi="ar-SA"/>
        </w:rPr>
        <w:t>户，停止公示行政处罚信息493条。</w:t>
      </w:r>
      <w:r>
        <w:rPr>
          <w:rFonts w:hint="eastAsia" w:ascii="Times New Roman" w:hAnsi="Times New Roman" w:eastAsia="仿宋_GB2312" w:cs="Times New Roman"/>
          <w:kern w:val="2"/>
          <w:sz w:val="32"/>
          <w:szCs w:val="32"/>
          <w:lang w:val="en-US" w:eastAsia="zh-CN" w:bidi="ar-SA"/>
        </w:rPr>
        <w:t>实施包容审慎监管，出台“</w:t>
      </w:r>
      <w:r>
        <w:rPr>
          <w:rFonts w:hint="default" w:ascii="Times New Roman" w:hAnsi="Times New Roman" w:eastAsia="仿宋_GB2312" w:cs="Times New Roman"/>
          <w:kern w:val="2"/>
          <w:sz w:val="32"/>
          <w:szCs w:val="32"/>
          <w:lang w:val="en-US" w:eastAsia="zh-CN" w:bidi="ar-SA"/>
        </w:rPr>
        <w:t>首违不罚</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《清单》《清单适用规则》，</w:t>
      </w:r>
      <w:r>
        <w:rPr>
          <w:rFonts w:hint="eastAsia" w:ascii="Times New Roman" w:hAnsi="Times New Roman" w:eastAsia="仿宋_GB2312" w:cs="Times New Roman"/>
          <w:kern w:val="2"/>
          <w:sz w:val="32"/>
          <w:szCs w:val="32"/>
          <w:lang w:val="en-US" w:eastAsia="zh-CN" w:bidi="ar-SA"/>
        </w:rPr>
        <w:t>办理“</w:t>
      </w:r>
      <w:r>
        <w:rPr>
          <w:rFonts w:hint="default" w:ascii="Times New Roman" w:hAnsi="Times New Roman" w:eastAsia="仿宋_GB2312" w:cs="Times New Roman"/>
          <w:kern w:val="2"/>
          <w:sz w:val="32"/>
          <w:szCs w:val="32"/>
          <w:lang w:val="en-US" w:eastAsia="zh-CN" w:bidi="ar-SA"/>
        </w:rPr>
        <w:t>首违不罚</w:t>
      </w:r>
      <w:r>
        <w:rPr>
          <w:rFonts w:hint="eastAsia" w:ascii="Times New Roman" w:hAnsi="Times New Roman" w:eastAsia="仿宋_GB2312" w:cs="Times New Roman"/>
          <w:kern w:val="2"/>
          <w:sz w:val="32"/>
          <w:szCs w:val="32"/>
          <w:lang w:val="en-US" w:eastAsia="zh-CN" w:bidi="ar-SA"/>
        </w:rPr>
        <w:t>”和不予行政处罚案件103件，免除罚款255万元。</w:t>
      </w:r>
      <w:r>
        <w:rPr>
          <w:rFonts w:hint="eastAsia" w:ascii="Times New Roman" w:hAnsi="Times New Roman" w:eastAsia="仿宋_GB2312" w:cs="Times New Roman"/>
          <w:b w:val="0"/>
          <w:bCs w:val="0"/>
          <w:color w:val="000000"/>
          <w:kern w:val="0"/>
          <w:sz w:val="32"/>
          <w:szCs w:val="32"/>
          <w:lang w:val="en-US" w:eastAsia="zh-CN" w:bidi="ar"/>
        </w:rPr>
        <w:t>三是加强消费环境建设。</w:t>
      </w:r>
      <w:r>
        <w:rPr>
          <w:rFonts w:hint="default" w:ascii="Times New Roman" w:hAnsi="Times New Roman" w:eastAsia="仿宋_GB2312" w:cs="Times New Roman"/>
          <w:kern w:val="2"/>
          <w:sz w:val="32"/>
          <w:szCs w:val="32"/>
          <w:lang w:val="en-US" w:eastAsia="zh-CN" w:bidi="ar-SA"/>
        </w:rPr>
        <w:t>开展放心消费示范单位创建</w:t>
      </w:r>
      <w:r>
        <w:rPr>
          <w:rFonts w:hint="eastAsia" w:ascii="Times New Roman" w:hAnsi="Times New Roman" w:eastAsia="仿宋_GB2312" w:cs="Times New Roman"/>
          <w:kern w:val="2"/>
          <w:sz w:val="32"/>
          <w:szCs w:val="32"/>
          <w:lang w:val="en-US" w:eastAsia="zh-CN" w:bidi="ar-SA"/>
        </w:rPr>
        <w:t>和</w:t>
      </w:r>
      <w:r>
        <w:rPr>
          <w:rFonts w:hint="eastAsia" w:ascii="Times New Roman" w:hAnsi="Times New Roman" w:eastAsia="仿宋_GB2312" w:cs="Times New Roman"/>
          <w:i w:val="0"/>
          <w:kern w:val="2"/>
          <w:sz w:val="32"/>
          <w:szCs w:val="32"/>
          <w:lang w:val="en-US" w:eastAsia="zh-CN" w:bidi="ar-SA"/>
        </w:rPr>
        <w:t>清理核查，累计申报创建放心舒心示范店897家、示范景区13家</w:t>
      </w:r>
      <w:r>
        <w:rPr>
          <w:rFonts w:hint="eastAsia" w:ascii="Times New Roman" w:hAnsi="Times New Roman" w:eastAsia="仿宋_GB2312" w:cs="Times New Roman"/>
          <w:kern w:val="2"/>
          <w:sz w:val="32"/>
          <w:szCs w:val="32"/>
          <w:lang w:val="en-US" w:eastAsia="zh-CN" w:bidi="ar-SA"/>
        </w:rPr>
        <w:t>。组织49家</w:t>
      </w:r>
      <w:r>
        <w:rPr>
          <w:rFonts w:hint="default" w:ascii="Times New Roman" w:hAnsi="Times New Roman" w:eastAsia="仿宋_GB2312" w:cs="Times New Roman"/>
          <w:kern w:val="2"/>
          <w:sz w:val="32"/>
          <w:szCs w:val="32"/>
          <w:lang w:val="en-US" w:eastAsia="zh-CN" w:bidi="ar-SA"/>
        </w:rPr>
        <w:t>ODR</w:t>
      </w:r>
      <w:r>
        <w:rPr>
          <w:rFonts w:hint="eastAsia" w:ascii="Times New Roman" w:hAnsi="Times New Roman" w:eastAsia="仿宋_GB2312" w:cs="Times New Roman"/>
          <w:kern w:val="2"/>
          <w:sz w:val="32"/>
          <w:szCs w:val="32"/>
          <w:lang w:val="en-US" w:eastAsia="zh-CN" w:bidi="ar-SA"/>
        </w:rPr>
        <w:t>企业参与全国消费纠纷在线化解受理投诉332件。搭建“放心舒心消费城市服务平台”，归集</w:t>
      </w:r>
      <w:r>
        <w:rPr>
          <w:rFonts w:hint="default" w:ascii="Times New Roman" w:hAnsi="Times New Roman" w:eastAsia="仿宋_GB2312" w:cs="Times New Roman"/>
          <w:kern w:val="2"/>
          <w:sz w:val="32"/>
          <w:szCs w:val="32"/>
          <w:lang w:val="en-US" w:eastAsia="zh-CN" w:bidi="ar-SA"/>
        </w:rPr>
        <w:t>1280家</w:t>
      </w:r>
      <w:r>
        <w:rPr>
          <w:rFonts w:hint="eastAsia" w:ascii="Times New Roman" w:hAnsi="Times New Roman" w:eastAsia="仿宋_GB2312" w:cs="Times New Roman"/>
          <w:kern w:val="2"/>
          <w:sz w:val="32"/>
          <w:szCs w:val="32"/>
          <w:lang w:val="en-US" w:eastAsia="zh-CN" w:bidi="ar-SA"/>
        </w:rPr>
        <w:t>商户</w:t>
      </w:r>
      <w:r>
        <w:rPr>
          <w:rFonts w:hint="default" w:ascii="Times New Roman" w:hAnsi="Times New Roman" w:eastAsia="仿宋_GB2312" w:cs="Times New Roman"/>
          <w:kern w:val="2"/>
          <w:sz w:val="32"/>
          <w:szCs w:val="32"/>
          <w:lang w:val="en-US" w:eastAsia="zh-CN" w:bidi="ar-SA"/>
        </w:rPr>
        <w:t>行政许可、部门监管信息</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消费预警等信息60万条</w:t>
      </w:r>
      <w:r>
        <w:rPr>
          <w:rFonts w:hint="eastAsia" w:ascii="Times New Roman" w:hAnsi="Times New Roman" w:eastAsia="仿宋_GB2312" w:cs="Times New Roman"/>
          <w:kern w:val="2"/>
          <w:sz w:val="32"/>
          <w:szCs w:val="32"/>
          <w:lang w:val="en-US" w:eastAsia="zh-CN" w:bidi="ar-SA"/>
        </w:rPr>
        <w:t>。打造“七天无理由退货”线下实体店</w:t>
      </w:r>
      <w:r>
        <w:rPr>
          <w:rFonts w:hint="default" w:ascii="Times New Roman" w:hAnsi="Times New Roman" w:eastAsia="仿宋_GB2312" w:cs="Times New Roman"/>
          <w:kern w:val="2"/>
          <w:sz w:val="32"/>
          <w:szCs w:val="32"/>
          <w:lang w:val="en-US" w:eastAsia="zh-CN" w:bidi="ar-SA"/>
        </w:rPr>
        <w:t>44</w:t>
      </w:r>
      <w:r>
        <w:rPr>
          <w:rFonts w:hint="eastAsia" w:ascii="Times New Roman" w:hAnsi="Times New Roman" w:eastAsia="仿宋_GB2312" w:cs="Times New Roman"/>
          <w:kern w:val="2"/>
          <w:sz w:val="32"/>
          <w:szCs w:val="32"/>
          <w:lang w:val="en-US" w:eastAsia="zh-CN" w:bidi="ar-SA"/>
        </w:rPr>
        <w:t>家，无理由退货</w:t>
      </w:r>
      <w:r>
        <w:rPr>
          <w:rFonts w:hint="default" w:ascii="Times New Roman" w:hAnsi="Times New Roman" w:eastAsia="仿宋_GB2312" w:cs="Times New Roman"/>
          <w:kern w:val="2"/>
          <w:sz w:val="32"/>
          <w:szCs w:val="32"/>
          <w:lang w:val="en-US" w:eastAsia="zh-CN" w:bidi="ar-SA"/>
        </w:rPr>
        <w:t>893</w:t>
      </w:r>
      <w:r>
        <w:rPr>
          <w:rFonts w:hint="eastAsia" w:ascii="Times New Roman" w:hAnsi="Times New Roman" w:eastAsia="仿宋_GB2312" w:cs="Times New Roman"/>
          <w:kern w:val="2"/>
          <w:sz w:val="32"/>
          <w:szCs w:val="32"/>
          <w:lang w:val="en-US" w:eastAsia="zh-CN" w:bidi="ar-SA"/>
        </w:rPr>
        <w:t>件。受理诉求举报</w:t>
      </w:r>
      <w:r>
        <w:rPr>
          <w:rFonts w:hint="default" w:ascii="Times New Roman" w:hAnsi="Times New Roman" w:eastAsia="仿宋_GB2312" w:cs="Times New Roman"/>
          <w:kern w:val="2"/>
          <w:sz w:val="32"/>
          <w:szCs w:val="32"/>
          <w:lang w:val="en-US" w:eastAsia="zh-CN" w:bidi="ar-SA"/>
        </w:rPr>
        <w:t>6340</w:t>
      </w:r>
      <w:r>
        <w:rPr>
          <w:rFonts w:hint="eastAsia" w:ascii="Times New Roman" w:hAnsi="Times New Roman" w:eastAsia="仿宋_GB2312" w:cs="Times New Roman"/>
          <w:kern w:val="2"/>
          <w:sz w:val="32"/>
          <w:szCs w:val="32"/>
          <w:lang w:val="en-US" w:eastAsia="zh-CN" w:bidi="ar-SA"/>
        </w:rPr>
        <w:t>件、办结</w:t>
      </w:r>
      <w:r>
        <w:rPr>
          <w:rFonts w:hint="default" w:ascii="Times New Roman" w:hAnsi="Times New Roman" w:eastAsia="仿宋_GB2312" w:cs="Times New Roman"/>
          <w:kern w:val="2"/>
          <w:sz w:val="32"/>
          <w:szCs w:val="32"/>
          <w:lang w:val="en-US" w:eastAsia="zh-CN" w:bidi="ar-SA"/>
        </w:rPr>
        <w:t>6286</w:t>
      </w:r>
      <w:r>
        <w:rPr>
          <w:rFonts w:hint="eastAsia" w:ascii="Times New Roman" w:hAnsi="Times New Roman" w:eastAsia="仿宋_GB2312" w:cs="Times New Roman"/>
          <w:kern w:val="2"/>
          <w:sz w:val="32"/>
          <w:szCs w:val="32"/>
          <w:lang w:val="en-US" w:eastAsia="zh-CN" w:bidi="ar-SA"/>
        </w:rPr>
        <w:t>件，</w:t>
      </w:r>
      <w:r>
        <w:rPr>
          <w:rFonts w:hint="default" w:ascii="Times New Roman" w:hAnsi="Times New Roman" w:eastAsia="仿宋_GB2312" w:cs="Times New Roman"/>
          <w:kern w:val="2"/>
          <w:sz w:val="32"/>
          <w:szCs w:val="32"/>
          <w:lang w:val="en-US" w:eastAsia="zh-CN" w:bidi="ar-SA"/>
        </w:rPr>
        <w:t>为消费者挽回经济损失309.4万元。</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642"/>
        <w:jc w:val="both"/>
        <w:textAlignment w:val="auto"/>
        <w:rPr>
          <w:rFonts w:hint="eastAsia" w:ascii="Times New Roman" w:hAnsi="Times New Roman" w:eastAsia="仿宋_GB2312" w:cs="Times New Roman"/>
          <w:kern w:val="2"/>
          <w:sz w:val="32"/>
          <w:szCs w:val="32"/>
          <w:lang w:val="en-US" w:eastAsia="zh-CN" w:bidi="ar-SA"/>
        </w:rPr>
      </w:pPr>
      <w:r>
        <w:rPr>
          <w:rFonts w:hint="default" w:ascii="楷体" w:hAnsi="楷体" w:eastAsia="楷体" w:cs="楷体"/>
          <w:b/>
          <w:bCs/>
          <w:kern w:val="2"/>
          <w:sz w:val="32"/>
          <w:szCs w:val="32"/>
          <w:lang w:val="en-US" w:eastAsia="en-US" w:bidi="ar-SA"/>
        </w:rPr>
        <w:t>（</w:t>
      </w:r>
      <w:r>
        <w:rPr>
          <w:rFonts w:hint="eastAsia" w:ascii="楷体" w:hAnsi="楷体" w:eastAsia="楷体" w:cs="楷体"/>
          <w:b/>
          <w:bCs/>
          <w:kern w:val="2"/>
          <w:sz w:val="32"/>
          <w:szCs w:val="32"/>
          <w:lang w:val="en-US" w:eastAsia="zh-CN" w:bidi="ar-SA"/>
        </w:rPr>
        <w:t>五</w:t>
      </w:r>
      <w:r>
        <w:rPr>
          <w:rFonts w:hint="default" w:ascii="楷体" w:hAnsi="楷体" w:eastAsia="楷体" w:cs="楷体"/>
          <w:b/>
          <w:bCs/>
          <w:kern w:val="2"/>
          <w:sz w:val="32"/>
          <w:szCs w:val="32"/>
          <w:lang w:val="en-US" w:eastAsia="en-US" w:bidi="ar-SA"/>
        </w:rPr>
        <w:t>）全力以赴强基础，</w:t>
      </w:r>
      <w:r>
        <w:rPr>
          <w:rFonts w:hint="eastAsia" w:ascii="楷体" w:hAnsi="楷体" w:eastAsia="楷体" w:cs="楷体"/>
          <w:b/>
          <w:bCs/>
          <w:kern w:val="2"/>
          <w:sz w:val="32"/>
          <w:szCs w:val="32"/>
          <w:lang w:val="en-US" w:eastAsia="zh-CN" w:bidi="ar-SA"/>
        </w:rPr>
        <w:t>助力</w:t>
      </w:r>
      <w:r>
        <w:rPr>
          <w:rFonts w:hint="default" w:ascii="楷体" w:hAnsi="楷体" w:eastAsia="楷体" w:cs="楷体"/>
          <w:b/>
          <w:bCs/>
          <w:kern w:val="2"/>
          <w:sz w:val="32"/>
          <w:szCs w:val="32"/>
          <w:lang w:val="en-US" w:eastAsia="en-US" w:bidi="ar-SA"/>
        </w:rPr>
        <w:t>服务质量</w:t>
      </w:r>
      <w:r>
        <w:rPr>
          <w:rFonts w:hint="eastAsia" w:ascii="楷体" w:hAnsi="楷体" w:eastAsia="楷体" w:cs="楷体"/>
          <w:b/>
          <w:bCs/>
          <w:kern w:val="2"/>
          <w:sz w:val="32"/>
          <w:szCs w:val="32"/>
          <w:lang w:val="en-US" w:eastAsia="zh-CN" w:bidi="ar-SA"/>
        </w:rPr>
        <w:t>持续</w:t>
      </w:r>
      <w:r>
        <w:rPr>
          <w:rFonts w:hint="default" w:ascii="楷体" w:hAnsi="楷体" w:eastAsia="楷体" w:cs="楷体"/>
          <w:b/>
          <w:bCs/>
          <w:kern w:val="2"/>
          <w:sz w:val="32"/>
          <w:szCs w:val="32"/>
          <w:lang w:val="en-US" w:eastAsia="en-US" w:bidi="ar-SA"/>
        </w:rPr>
        <w:t>提升。</w:t>
      </w:r>
      <w:r>
        <w:rPr>
          <w:rFonts w:hint="default" w:ascii="Times New Roman" w:hAnsi="Times New Roman" w:eastAsia="仿宋_GB2312" w:cs="Times New Roman"/>
          <w:b w:val="0"/>
          <w:bCs w:val="0"/>
          <w:color w:val="000000"/>
          <w:kern w:val="0"/>
          <w:sz w:val="32"/>
          <w:szCs w:val="32"/>
          <w:lang w:val="en-US" w:eastAsia="zh-CN" w:bidi="ar"/>
        </w:rPr>
        <w:t>一是</w:t>
      </w:r>
      <w:r>
        <w:rPr>
          <w:rFonts w:hint="eastAsia" w:ascii="Times New Roman" w:hAnsi="Times New Roman" w:eastAsia="仿宋_GB2312" w:cs="Times New Roman"/>
          <w:b w:val="0"/>
          <w:bCs w:val="0"/>
          <w:color w:val="000000"/>
          <w:kern w:val="0"/>
          <w:sz w:val="32"/>
          <w:szCs w:val="32"/>
          <w:lang w:val="en-US" w:eastAsia="zh-CN" w:bidi="ar"/>
        </w:rPr>
        <w:t>着力夯实</w:t>
      </w:r>
      <w:r>
        <w:rPr>
          <w:rFonts w:hint="default" w:ascii="Times New Roman" w:hAnsi="Times New Roman" w:eastAsia="仿宋_GB2312" w:cs="Times New Roman"/>
          <w:b w:val="0"/>
          <w:bCs w:val="0"/>
          <w:color w:val="000000"/>
          <w:kern w:val="0"/>
          <w:sz w:val="32"/>
          <w:szCs w:val="32"/>
          <w:lang w:val="en-US" w:eastAsia="zh-CN" w:bidi="ar"/>
        </w:rPr>
        <w:t>质量基础。</w:t>
      </w:r>
      <w:r>
        <w:rPr>
          <w:rFonts w:hint="default" w:ascii="Times New Roman" w:hAnsi="Times New Roman" w:eastAsia="仿宋_GB2312" w:cs="Times New Roman"/>
          <w:kern w:val="2"/>
          <w:sz w:val="32"/>
          <w:szCs w:val="32"/>
          <w:lang w:val="en-US" w:eastAsia="zh-CN" w:bidi="ar-SA"/>
        </w:rPr>
        <w:t>坚持先进标准引领，征集地方标准立项18项，完成标准草案编制8项</w:t>
      </w:r>
      <w:r>
        <w:rPr>
          <w:rFonts w:hint="eastAsia" w:ascii="Times New Roman" w:hAnsi="Times New Roman" w:eastAsia="仿宋_GB2312" w:cs="Times New Roman"/>
          <w:kern w:val="2"/>
          <w:sz w:val="32"/>
          <w:szCs w:val="32"/>
          <w:lang w:val="en-US" w:eastAsia="zh-CN" w:bidi="ar-SA"/>
        </w:rPr>
        <w:t>，发布地理标志保护产品标准</w:t>
      </w:r>
      <w:r>
        <w:rPr>
          <w:rFonts w:hint="default"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项，在全省率先制定出台了</w:t>
      </w:r>
      <w:r>
        <w:rPr>
          <w:rFonts w:hint="default" w:ascii="Times New Roman" w:hAnsi="Times New Roman" w:eastAsia="仿宋_GB2312" w:cs="Times New Roman"/>
          <w:kern w:val="2"/>
          <w:sz w:val="32"/>
          <w:szCs w:val="32"/>
          <w:lang w:val="en-US" w:eastAsia="zh-CN" w:bidi="ar-SA"/>
        </w:rPr>
        <w:t>地方标准《公路隧道火灾扑救行动指南》</w:t>
      </w:r>
      <w:r>
        <w:rPr>
          <w:rFonts w:hint="eastAsia" w:ascii="Times New Roman" w:hAnsi="Times New Roman" w:eastAsia="仿宋_GB2312" w:cs="Times New Roman"/>
          <w:kern w:val="2"/>
          <w:sz w:val="32"/>
          <w:szCs w:val="32"/>
          <w:lang w:val="en-US" w:eastAsia="zh-CN" w:bidi="ar-SA"/>
        </w:rPr>
        <w:t>。推荐5家机构入驻“川质通”平台，完成</w:t>
      </w:r>
      <w:r>
        <w:rPr>
          <w:rFonts w:hint="default"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00家企业有效订单</w:t>
      </w:r>
      <w:r>
        <w:rPr>
          <w:rFonts w:hint="default" w:ascii="Times New Roman" w:hAnsi="Times New Roman" w:eastAsia="仿宋_GB2312" w:cs="Times New Roman"/>
          <w:kern w:val="2"/>
          <w:sz w:val="32"/>
          <w:szCs w:val="32"/>
          <w:lang w:val="en-US" w:eastAsia="zh-CN" w:bidi="ar-SA"/>
        </w:rPr>
        <w:t>580</w:t>
      </w:r>
      <w:r>
        <w:rPr>
          <w:rFonts w:hint="eastAsia" w:ascii="Times New Roman" w:hAnsi="Times New Roman" w:eastAsia="仿宋_GB2312" w:cs="Times New Roman"/>
          <w:kern w:val="2"/>
          <w:sz w:val="32"/>
          <w:szCs w:val="32"/>
          <w:lang w:val="en-US" w:eastAsia="zh-CN" w:bidi="ar-SA"/>
        </w:rPr>
        <w:t>单。组建“质量跑团”提供帮代办服务</w:t>
      </w:r>
      <w:r>
        <w:rPr>
          <w:rFonts w:hint="default" w:ascii="Times New Roman" w:hAnsi="Times New Roman" w:eastAsia="仿宋_GB2312" w:cs="Times New Roman"/>
          <w:kern w:val="2"/>
          <w:sz w:val="32"/>
          <w:szCs w:val="32"/>
          <w:lang w:val="en-US" w:eastAsia="zh-CN" w:bidi="ar-SA"/>
        </w:rPr>
        <w:t>2000</w:t>
      </w:r>
      <w:r>
        <w:rPr>
          <w:rFonts w:hint="eastAsia" w:ascii="Times New Roman" w:hAnsi="Times New Roman" w:eastAsia="仿宋_GB2312" w:cs="Times New Roman"/>
          <w:kern w:val="2"/>
          <w:sz w:val="32"/>
          <w:szCs w:val="32"/>
          <w:lang w:val="en-US" w:eastAsia="zh-CN" w:bidi="ar-SA"/>
        </w:rPr>
        <w:t>余次，深入</w:t>
      </w:r>
      <w:r>
        <w:rPr>
          <w:rFonts w:hint="default" w:ascii="Times New Roman" w:hAnsi="Times New Roman" w:eastAsia="仿宋_GB2312" w:cs="Times New Roman"/>
          <w:kern w:val="2"/>
          <w:sz w:val="32"/>
          <w:szCs w:val="32"/>
          <w:lang w:val="en-US" w:eastAsia="zh-CN" w:bidi="ar-SA"/>
        </w:rPr>
        <w:t>130</w:t>
      </w:r>
      <w:r>
        <w:rPr>
          <w:rFonts w:hint="eastAsia" w:ascii="Times New Roman" w:hAnsi="Times New Roman" w:eastAsia="仿宋_GB2312" w:cs="Times New Roman"/>
          <w:kern w:val="2"/>
          <w:sz w:val="32"/>
          <w:szCs w:val="32"/>
          <w:lang w:val="en-US" w:eastAsia="zh-CN" w:bidi="ar-SA"/>
        </w:rPr>
        <w:t>多家企业帮助解决质量问题180多个。</w:t>
      </w:r>
      <w:r>
        <w:rPr>
          <w:rFonts w:hint="default" w:ascii="Times New Roman" w:hAnsi="Times New Roman" w:eastAsia="仿宋_GB2312" w:cs="Times New Roman"/>
          <w:b w:val="0"/>
          <w:bCs w:val="0"/>
          <w:color w:val="000000"/>
          <w:kern w:val="0"/>
          <w:sz w:val="32"/>
          <w:szCs w:val="32"/>
          <w:lang w:val="en-US" w:eastAsia="zh-CN" w:bidi="ar"/>
        </w:rPr>
        <w:t>二是</w:t>
      </w:r>
      <w:r>
        <w:rPr>
          <w:rFonts w:hint="eastAsia" w:ascii="Times New Roman" w:hAnsi="Times New Roman" w:eastAsia="仿宋_GB2312" w:cs="Times New Roman"/>
          <w:b w:val="0"/>
          <w:bCs w:val="0"/>
          <w:color w:val="000000"/>
          <w:kern w:val="0"/>
          <w:sz w:val="32"/>
          <w:szCs w:val="32"/>
          <w:lang w:val="en-US" w:eastAsia="zh-CN" w:bidi="ar"/>
        </w:rPr>
        <w:t>持续加强</w:t>
      </w:r>
      <w:r>
        <w:rPr>
          <w:rFonts w:hint="default" w:ascii="Times New Roman" w:hAnsi="Times New Roman" w:eastAsia="仿宋_GB2312" w:cs="Times New Roman"/>
          <w:b w:val="0"/>
          <w:bCs w:val="0"/>
          <w:color w:val="000000"/>
          <w:kern w:val="0"/>
          <w:sz w:val="32"/>
          <w:szCs w:val="32"/>
          <w:lang w:val="en-US" w:eastAsia="zh-CN" w:bidi="ar"/>
        </w:rPr>
        <w:t>质量管理。</w:t>
      </w:r>
      <w:r>
        <w:rPr>
          <w:rFonts w:hint="default" w:ascii="Times New Roman" w:hAnsi="Times New Roman" w:eastAsia="仿宋_GB2312" w:cs="Times New Roman"/>
          <w:kern w:val="2"/>
          <w:sz w:val="32"/>
          <w:szCs w:val="32"/>
          <w:lang w:val="en-US" w:eastAsia="zh-CN" w:bidi="ar-SA"/>
        </w:rPr>
        <w:t>加强计量监督管理，</w:t>
      </w:r>
      <w:r>
        <w:rPr>
          <w:rFonts w:hint="eastAsia" w:ascii="Times New Roman" w:hAnsi="Times New Roman" w:eastAsia="仿宋_GB2312" w:cs="Times New Roman"/>
          <w:b w:val="0"/>
          <w:kern w:val="2"/>
          <w:sz w:val="32"/>
          <w:szCs w:val="32"/>
          <w:lang w:val="en-US" w:eastAsia="zh-CN" w:bidi="ar-SA"/>
        </w:rPr>
        <w:t>开展加油机、出租车计价器、动态汽车衡等专项监督检查，检查市场主体400余家、计量器具</w:t>
      </w:r>
      <w:r>
        <w:rPr>
          <w:sz w:val="28"/>
          <w:szCs w:val="28"/>
        </w:rPr>
        <w:t>294</w:t>
      </w:r>
      <w:r>
        <w:rPr>
          <w:rFonts w:hint="default"/>
          <w:sz w:val="28"/>
          <w:szCs w:val="28"/>
          <w:lang w:val="en-US" w:eastAsia="zh-CN"/>
        </w:rPr>
        <w:t>00</w:t>
      </w:r>
      <w:r>
        <w:rPr>
          <w:rFonts w:hint="eastAsia" w:ascii="Times New Roman" w:hAnsi="Times New Roman" w:eastAsia="仿宋_GB2312" w:cs="Times New Roman"/>
          <w:b w:val="0"/>
          <w:kern w:val="2"/>
          <w:sz w:val="32"/>
          <w:szCs w:val="32"/>
          <w:lang w:val="en-US" w:eastAsia="zh-CN" w:bidi="ar-SA"/>
        </w:rPr>
        <w:t>余台（件）。</w:t>
      </w:r>
      <w:r>
        <w:rPr>
          <w:rFonts w:hint="default" w:ascii="Times New Roman" w:hAnsi="Times New Roman" w:eastAsia="仿宋_GB2312" w:cs="Times New Roman"/>
          <w:kern w:val="2"/>
          <w:sz w:val="32"/>
          <w:szCs w:val="32"/>
          <w:lang w:val="en-US" w:eastAsia="zh-CN" w:bidi="ar-SA"/>
        </w:rPr>
        <w:t>深化质量认证体系建设，开展小微企业质量管理体系认证提升三年活动，获证组织34家、取得证书35张</w:t>
      </w:r>
      <w:r>
        <w:rPr>
          <w:rFonts w:hint="eastAsia" w:ascii="Times New Roman" w:hAnsi="Times New Roman" w:eastAsia="仿宋_GB2312" w:cs="Times New Roman"/>
          <w:kern w:val="2"/>
          <w:sz w:val="32"/>
          <w:szCs w:val="32"/>
          <w:lang w:val="en-US" w:eastAsia="zh-CN" w:bidi="ar-SA"/>
        </w:rPr>
        <w:t>，“通江县有机产业发展和乡村振兴融合互动”获评全国有机产品认证优良实践案例</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开展机</w:t>
      </w:r>
      <w:r>
        <w:rPr>
          <w:rFonts w:hint="eastAsia" w:ascii="Times New Roman" w:hAnsi="Times New Roman" w:eastAsia="仿宋_GB2312" w:cs="Times New Roman"/>
          <w:b w:val="0"/>
          <w:kern w:val="2"/>
          <w:sz w:val="32"/>
          <w:szCs w:val="32"/>
          <w:lang w:val="en-US" w:eastAsia="zh-CN" w:bidi="ar-SA"/>
        </w:rPr>
        <w:t>动车、使用农产品、建设工程、环境监测等重点领域检验检测机构专项整治，</w:t>
      </w:r>
      <w:r>
        <w:rPr>
          <w:rFonts w:hint="default" w:ascii="Times New Roman" w:hAnsi="Times New Roman" w:eastAsia="仿宋_GB2312" w:cs="Times New Roman"/>
          <w:kern w:val="2"/>
          <w:sz w:val="32"/>
          <w:szCs w:val="32"/>
          <w:lang w:val="en-US" w:eastAsia="zh-CN" w:bidi="ar-SA"/>
        </w:rPr>
        <w:t>行政约谈</w:t>
      </w:r>
      <w:r>
        <w:rPr>
          <w:rFonts w:hint="eastAsia" w:ascii="Times New Roman" w:hAnsi="Times New Roman" w:eastAsia="仿宋_GB2312" w:cs="Times New Roman"/>
          <w:kern w:val="2"/>
          <w:sz w:val="32"/>
          <w:szCs w:val="32"/>
          <w:lang w:val="en-US" w:eastAsia="zh-CN" w:bidi="ar-SA"/>
        </w:rPr>
        <w:t>市场主体</w:t>
      </w:r>
      <w:r>
        <w:rPr>
          <w:rFonts w:hint="default" w:ascii="Times New Roman" w:hAnsi="Times New Roman" w:eastAsia="仿宋_GB2312" w:cs="Times New Roman"/>
          <w:kern w:val="2"/>
          <w:sz w:val="32"/>
          <w:szCs w:val="32"/>
          <w:lang w:val="en-US" w:eastAsia="zh-CN" w:bidi="ar-SA"/>
        </w:rPr>
        <w:t>14</w:t>
      </w:r>
      <w:r>
        <w:rPr>
          <w:rFonts w:hint="eastAsia" w:ascii="Times New Roman" w:hAnsi="Times New Roman" w:eastAsia="仿宋_GB2312" w:cs="Times New Roman"/>
          <w:kern w:val="2"/>
          <w:sz w:val="32"/>
          <w:szCs w:val="32"/>
          <w:lang w:val="en-US" w:eastAsia="zh-CN" w:bidi="ar-SA"/>
        </w:rPr>
        <w:t>家</w:t>
      </w:r>
      <w:r>
        <w:rPr>
          <w:rFonts w:hint="eastAsia" w:ascii="Times New Roman" w:hAnsi="Times New Roman" w:eastAsia="仿宋_GB2312" w:cs="Times New Roman"/>
          <w:b w:val="0"/>
          <w:kern w:val="2"/>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
        </w:rPr>
        <w:t>三是强化知识产权保护。</w:t>
      </w:r>
      <w:r>
        <w:rPr>
          <w:rFonts w:hint="eastAsia" w:ascii="Times New Roman" w:hAnsi="Times New Roman" w:eastAsia="仿宋_GB2312" w:cs="Times New Roman"/>
          <w:kern w:val="2"/>
          <w:sz w:val="32"/>
          <w:szCs w:val="32"/>
          <w:lang w:val="en-US" w:eastAsia="zh-CN" w:bidi="ar-SA"/>
        </w:rPr>
        <w:t>新增专利授权770件、成功申请注册商标2037件，有效注册商标总量16278件。实施专利76项，新增产值3.4亿元，1件专利获得省年度创新创业奖。强化品牌价值评价宣传申报，“通江银耳”品牌价值评价结果为55亿元。南江县被国家知识产权局评为“国家知识产权强县建设试点县”，平昌青花椒、江口青鳙两件地标产品在国家地理标志运用促进项目验收中获“优秀”等次，并入列“国家地理标志运用促进重点联系指导名录”，恩阳芦笋、巴山猪分别获评2022我最喜爱的四川省十大品牌特等奖、榜样。“江口醇酒”地标代表中国唯一企业参加中俄地理专家研讨会并作交流发言，50万元酒类产品已销往俄罗斯。与浙江金华签订《深化知识产权战略合作协议》，16件重点商标品牌、14件优质地理标志纳入知识产权合作重点保护名录。</w:t>
      </w:r>
    </w:p>
    <w:p>
      <w:pPr>
        <w:pStyle w:val="9"/>
        <w:keepNext w:val="0"/>
        <w:keepLines w:val="0"/>
        <w:pageBreakBefore w:val="0"/>
        <w:widowControl w:val="0"/>
        <w:kinsoku/>
        <w:wordWrap/>
        <w:overflowPunct/>
        <w:topLinePunct w:val="0"/>
        <w:autoSpaceDE/>
        <w:autoSpaceDN/>
        <w:bidi w:val="0"/>
        <w:adjustRightInd/>
        <w:spacing w:line="560" w:lineRule="exact"/>
        <w:ind w:firstLine="642" w:firstLineChars="200"/>
        <w:jc w:val="both"/>
        <w:textAlignment w:val="auto"/>
        <w:rPr>
          <w:rFonts w:hint="eastAsia" w:ascii="Times New Roman" w:hAnsi="Times New Roman" w:eastAsia="仿宋_GB2312" w:cs="Times New Roman"/>
          <w:i w:val="0"/>
          <w:kern w:val="0"/>
          <w:sz w:val="32"/>
          <w:szCs w:val="32"/>
          <w:lang w:val="en-US" w:eastAsia="zh-CN" w:bidi="ar-SA"/>
        </w:rPr>
      </w:pPr>
      <w:r>
        <w:rPr>
          <w:rFonts w:hint="eastAsia" w:ascii="楷体" w:hAnsi="楷体" w:eastAsia="楷体" w:cs="楷体"/>
          <w:b/>
          <w:bCs/>
          <w:kern w:val="2"/>
          <w:sz w:val="32"/>
          <w:szCs w:val="32"/>
          <w:lang w:val="en-US" w:eastAsia="zh-CN" w:bidi="ar-SA"/>
        </w:rPr>
        <w:t>（六）重拳出击严执法，推动市场秩序持续向好。</w:t>
      </w:r>
      <w:r>
        <w:rPr>
          <w:rFonts w:hint="eastAsia" w:ascii="Times New Roman" w:hAnsi="Times New Roman" w:eastAsia="仿宋_GB2312" w:cs="Times New Roman"/>
          <w:b w:val="0"/>
          <w:bCs w:val="0"/>
          <w:color w:val="000000"/>
          <w:kern w:val="0"/>
          <w:sz w:val="32"/>
          <w:szCs w:val="32"/>
          <w:lang w:val="en-US" w:eastAsia="zh-CN" w:bidi="ar"/>
        </w:rPr>
        <w:t>一是强化反垄断和反不正当竞争监管执法。</w:t>
      </w:r>
      <w:r>
        <w:rPr>
          <w:rFonts w:hint="eastAsia" w:ascii="Times New Roman" w:hAnsi="Times New Roman" w:eastAsia="仿宋_GB2312" w:cs="Times New Roman"/>
          <w:kern w:val="0"/>
          <w:sz w:val="32"/>
          <w:szCs w:val="32"/>
          <w:lang w:val="en-US" w:eastAsia="zh-CN" w:bidi="ar-SA"/>
        </w:rPr>
        <w:t>强化公平竞争审查制度约束，集中审查涉及市场主体经济活动政策措施67件，出具审查意见100余件，聚焦民生和新消费、重要商品和要素市场、商业营销环节、新消费等重点领域，跨区域跨部门执法6次，查处案件</w:t>
      </w:r>
      <w:r>
        <w:rPr>
          <w:rFonts w:hint="default" w:ascii="Times New Roman" w:hAnsi="Times New Roman" w:eastAsia="仿宋_GB2312" w:cs="Times New Roman"/>
          <w:kern w:val="0"/>
          <w:sz w:val="32"/>
          <w:szCs w:val="32"/>
          <w:lang w:val="en-US" w:eastAsia="zh-CN" w:bidi="ar-SA"/>
        </w:rPr>
        <w:t>59</w:t>
      </w:r>
      <w:r>
        <w:rPr>
          <w:rFonts w:hint="eastAsia" w:ascii="Times New Roman" w:hAnsi="Times New Roman" w:eastAsia="仿宋_GB2312" w:cs="Times New Roman"/>
          <w:kern w:val="0"/>
          <w:sz w:val="32"/>
          <w:szCs w:val="32"/>
          <w:lang w:val="en-US" w:eastAsia="zh-CN" w:bidi="ar-SA"/>
        </w:rPr>
        <w:t>件，罚款54.74万元，开展制止滥用行政权力排除、限制竞争等专项行动核查投诉线索11个。</w:t>
      </w:r>
      <w:r>
        <w:rPr>
          <w:rFonts w:hint="eastAsia" w:ascii="Times New Roman" w:hAnsi="Times New Roman" w:eastAsia="仿宋_GB2312" w:cs="Times New Roman"/>
          <w:b w:val="0"/>
          <w:bCs w:val="0"/>
          <w:color w:val="000000"/>
          <w:kern w:val="0"/>
          <w:sz w:val="32"/>
          <w:szCs w:val="32"/>
          <w:lang w:val="en-US" w:eastAsia="zh-CN" w:bidi="ar"/>
        </w:rPr>
        <w:t>二是强化价格监管执法。</w:t>
      </w:r>
      <w:r>
        <w:rPr>
          <w:rFonts w:hint="eastAsia" w:ascii="Times New Roman" w:hAnsi="Times New Roman" w:eastAsia="仿宋_GB2312" w:cs="Times New Roman"/>
          <w:kern w:val="0"/>
          <w:sz w:val="32"/>
          <w:szCs w:val="32"/>
          <w:lang w:val="en-US" w:eastAsia="zh-CN" w:bidi="ar-SA"/>
        </w:rPr>
        <w:t>开攒殡葬、房地产、粮食等领域专项整治和民生商品、防疫药械、医疗服务等价格检测预警，</w:t>
      </w:r>
      <w:r>
        <w:rPr>
          <w:rFonts w:hint="eastAsia" w:ascii="CESI仿宋-GB13000" w:eastAsia="CESI仿宋-GB13000"/>
          <w:sz w:val="32"/>
          <w:szCs w:val="32"/>
        </w:rPr>
        <w:t>检查市场主体800家</w:t>
      </w:r>
      <w:r>
        <w:rPr>
          <w:rFonts w:hint="eastAsia" w:ascii="CESI仿宋-GB13000" w:eastAsia="CESI仿宋-GB13000"/>
          <w:sz w:val="32"/>
          <w:szCs w:val="32"/>
          <w:lang w:eastAsia="zh-CN"/>
        </w:rPr>
        <w:t>次</w:t>
      </w:r>
      <w:r>
        <w:rPr>
          <w:rFonts w:hint="eastAsia" w:ascii="CESI仿宋-GB13000" w:eastAsia="CESI仿宋-GB13000"/>
          <w:sz w:val="32"/>
          <w:szCs w:val="32"/>
        </w:rPr>
        <w:t>，</w:t>
      </w:r>
      <w:r>
        <w:rPr>
          <w:rFonts w:hint="eastAsia" w:ascii="CESI仿宋-GB13000" w:eastAsia="CESI仿宋-GB13000"/>
          <w:sz w:val="32"/>
          <w:szCs w:val="32"/>
          <w:lang w:eastAsia="zh-CN"/>
        </w:rPr>
        <w:t>立案查处</w:t>
      </w:r>
      <w:r>
        <w:rPr>
          <w:rFonts w:hint="eastAsia" w:ascii="CESI仿宋-GB13000" w:eastAsia="CESI仿宋-GB13000"/>
          <w:sz w:val="32"/>
          <w:szCs w:val="32"/>
          <w:lang w:val="en-US" w:eastAsia="zh-CN"/>
        </w:rPr>
        <w:t>148家，</w:t>
      </w:r>
      <w:r>
        <w:rPr>
          <w:rFonts w:hint="eastAsia" w:ascii="CESI仿宋-GB13000" w:eastAsia="CESI仿宋-GB13000" w:cs="仿宋_GB2312"/>
          <w:bCs/>
          <w:sz w:val="32"/>
          <w:szCs w:val="32"/>
          <w:lang w:bidi="ar-SA"/>
        </w:rPr>
        <w:t>实施经</w:t>
      </w:r>
      <w:r>
        <w:rPr>
          <w:rFonts w:hint="eastAsia" w:ascii="CESI仿宋-GB13000" w:eastAsia="CESI仿宋-GB13000" w:cs="仿宋"/>
          <w:bCs/>
          <w:sz w:val="32"/>
          <w:szCs w:val="32"/>
          <w:lang w:bidi="ar-SA"/>
        </w:rPr>
        <w:t>济处罚537.24万元</w:t>
      </w:r>
      <w:r>
        <w:rPr>
          <w:rFonts w:hint="eastAsia" w:ascii="CESI仿宋-GB13000" w:eastAsia="CESI仿宋-GB13000" w:cs="仿宋"/>
          <w:bCs/>
          <w:sz w:val="32"/>
          <w:szCs w:val="32"/>
          <w:lang w:eastAsia="zh-CN" w:bidi="ar-SA"/>
        </w:rPr>
        <w:t>。</w:t>
      </w:r>
      <w:r>
        <w:rPr>
          <w:rFonts w:hint="eastAsia" w:ascii="Times New Roman" w:hAnsi="Times New Roman" w:eastAsia="仿宋_GB2312" w:cs="Times New Roman"/>
          <w:b w:val="0"/>
          <w:bCs w:val="0"/>
          <w:color w:val="000000"/>
          <w:kern w:val="0"/>
          <w:sz w:val="32"/>
          <w:szCs w:val="32"/>
          <w:lang w:val="en-US" w:eastAsia="zh-CN" w:bidi="ar"/>
        </w:rPr>
        <w:t>三是强化广告监管执法。</w:t>
      </w:r>
      <w:r>
        <w:rPr>
          <w:rFonts w:hint="default" w:ascii="Times New Roman" w:hAnsi="Times New Roman" w:eastAsia="仿宋_GB2312" w:cs="Times New Roman"/>
          <w:kern w:val="0"/>
          <w:sz w:val="32"/>
          <w:szCs w:val="32"/>
          <w:lang w:val="en-US" w:eastAsia="zh-CN" w:bidi="ar-SA"/>
        </w:rPr>
        <w:t>开展借重大活动从事违法违规商业、校外培训、疫情防控、燃气、</w:t>
      </w:r>
      <w:r>
        <w:rPr>
          <w:rFonts w:hint="eastAsia" w:ascii="Times New Roman" w:hAnsi="Times New Roman" w:eastAsia="仿宋_GB2312" w:cs="Times New Roman"/>
          <w:kern w:val="0"/>
          <w:sz w:val="32"/>
          <w:szCs w:val="32"/>
          <w:lang w:val="en-US" w:eastAsia="zh-CN" w:bidi="ar-SA"/>
        </w:rPr>
        <w:t>养老、</w:t>
      </w:r>
      <w:r>
        <w:rPr>
          <w:rFonts w:hint="default" w:ascii="Times New Roman" w:hAnsi="Times New Roman" w:eastAsia="仿宋_GB2312" w:cs="Times New Roman"/>
          <w:kern w:val="0"/>
          <w:sz w:val="32"/>
          <w:szCs w:val="32"/>
          <w:lang w:val="en-US" w:eastAsia="zh-CN" w:bidi="ar-SA"/>
        </w:rPr>
        <w:t>金融及投资理财等领域广告专项整治，查处虚假违法广告63件，处罚款</w:t>
      </w:r>
      <w:r>
        <w:rPr>
          <w:rFonts w:hint="eastAsia" w:ascii="Times New Roman" w:hAnsi="Times New Roman" w:eastAsia="仿宋_GB2312" w:cs="Times New Roman"/>
          <w:kern w:val="0"/>
          <w:sz w:val="32"/>
          <w:szCs w:val="32"/>
          <w:lang w:val="en-US" w:eastAsia="zh-CN" w:bidi="ar-SA"/>
        </w:rPr>
        <w:t>105</w:t>
      </w:r>
      <w:r>
        <w:rPr>
          <w:rFonts w:hint="default" w:ascii="Times New Roman" w:hAnsi="Times New Roman" w:eastAsia="仿宋_GB2312" w:cs="Times New Roman"/>
          <w:kern w:val="0"/>
          <w:sz w:val="32"/>
          <w:szCs w:val="32"/>
          <w:lang w:val="en-US" w:eastAsia="zh-CN" w:bidi="ar-SA"/>
        </w:rPr>
        <w:t>万元</w:t>
      </w:r>
      <w:r>
        <w:rPr>
          <w:rFonts w:hint="eastAsia"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b w:val="0"/>
          <w:bCs w:val="0"/>
          <w:color w:val="000000"/>
          <w:kern w:val="0"/>
          <w:sz w:val="32"/>
          <w:szCs w:val="32"/>
          <w:lang w:val="en-US" w:eastAsia="zh-CN" w:bidi="ar"/>
        </w:rPr>
        <w:t>四是强化网络交易监管执法。</w:t>
      </w:r>
      <w:r>
        <w:rPr>
          <w:rFonts w:hint="eastAsia" w:ascii="Times New Roman" w:hAnsi="Times New Roman" w:eastAsia="仿宋_GB2312" w:cs="Times New Roman"/>
          <w:i w:val="0"/>
          <w:kern w:val="0"/>
          <w:sz w:val="32"/>
          <w:szCs w:val="32"/>
          <w:lang w:val="en-US" w:eastAsia="zh-CN" w:bidi="ar-SA"/>
        </w:rPr>
        <w:t>对辖区</w:t>
      </w:r>
      <w:r>
        <w:rPr>
          <w:rFonts w:hint="eastAsia" w:eastAsia="仿宋_GB2312" w:cs="Times New Roman"/>
          <w:i w:val="0"/>
          <w:kern w:val="0"/>
          <w:sz w:val="32"/>
          <w:szCs w:val="32"/>
          <w:lang w:val="en-US" w:eastAsia="zh-CN" w:bidi="ar-SA"/>
        </w:rPr>
        <w:t>11家网络</w:t>
      </w:r>
      <w:r>
        <w:rPr>
          <w:rFonts w:hint="eastAsia" w:ascii="Times New Roman" w:hAnsi="Times New Roman" w:eastAsia="仿宋_GB2312" w:cs="Times New Roman"/>
          <w:i w:val="0"/>
          <w:kern w:val="0"/>
          <w:sz w:val="32"/>
          <w:szCs w:val="32"/>
          <w:lang w:val="en-US" w:eastAsia="zh-CN" w:bidi="ar-SA"/>
        </w:rPr>
        <w:t>平台、</w:t>
      </w:r>
      <w:r>
        <w:rPr>
          <w:rFonts w:hint="eastAsia" w:eastAsia="仿宋_GB2312" w:cs="Times New Roman"/>
          <w:i w:val="0"/>
          <w:kern w:val="0"/>
          <w:sz w:val="32"/>
          <w:szCs w:val="32"/>
          <w:lang w:val="en-US" w:eastAsia="zh-CN" w:bidi="ar-SA"/>
        </w:rPr>
        <w:t>7000余户</w:t>
      </w:r>
      <w:r>
        <w:rPr>
          <w:rFonts w:hint="eastAsia" w:ascii="Times New Roman" w:hAnsi="Times New Roman" w:eastAsia="仿宋_GB2312" w:cs="Times New Roman"/>
          <w:i w:val="0"/>
          <w:kern w:val="0"/>
          <w:sz w:val="32"/>
          <w:szCs w:val="32"/>
          <w:lang w:val="en-US" w:eastAsia="zh-CN" w:bidi="ar-SA"/>
        </w:rPr>
        <w:t>经营者开展实时监测，联合公安等部门监测网络交易经营者信息及行为100余万条次，停业整顿14户，下架涉嫌违法违规商品及服务信息126条。</w:t>
      </w:r>
      <w:r>
        <w:rPr>
          <w:rFonts w:hint="eastAsia" w:ascii="Times New Roman" w:hAnsi="Times New Roman" w:eastAsia="仿宋_GB2312" w:cs="Times New Roman"/>
          <w:b w:val="0"/>
          <w:bCs w:val="0"/>
          <w:color w:val="000000"/>
          <w:kern w:val="0"/>
          <w:sz w:val="32"/>
          <w:szCs w:val="32"/>
          <w:lang w:val="en-US" w:eastAsia="zh-CN" w:bidi="ar"/>
        </w:rPr>
        <w:t>五是强化执法办案。</w:t>
      </w:r>
      <w:r>
        <w:rPr>
          <w:rFonts w:hint="default" w:ascii="Times New Roman" w:hAnsi="Times New Roman" w:eastAsia="仿宋_GB2312" w:cs="Times New Roman"/>
          <w:i w:val="0"/>
          <w:kern w:val="0"/>
          <w:sz w:val="32"/>
          <w:szCs w:val="32"/>
          <w:lang w:val="en-US" w:eastAsia="zh-CN" w:bidi="ar-SA"/>
        </w:rPr>
        <w:t>开展</w:t>
      </w:r>
      <w:r>
        <w:rPr>
          <w:rFonts w:hint="eastAsia" w:ascii="Times New Roman" w:hAnsi="Times New Roman" w:eastAsia="仿宋_GB2312" w:cs="Times New Roman"/>
          <w:i w:val="0"/>
          <w:kern w:val="0"/>
          <w:sz w:val="32"/>
          <w:szCs w:val="32"/>
          <w:lang w:val="en-US" w:eastAsia="zh-CN" w:bidi="ar-SA"/>
        </w:rPr>
        <w:t>“</w:t>
      </w:r>
      <w:r>
        <w:rPr>
          <w:rFonts w:hint="default" w:ascii="Times New Roman" w:hAnsi="Times New Roman" w:eastAsia="仿宋_GB2312" w:cs="Times New Roman"/>
          <w:i w:val="0"/>
          <w:kern w:val="0"/>
          <w:sz w:val="32"/>
          <w:szCs w:val="32"/>
          <w:lang w:val="en-US" w:eastAsia="zh-CN" w:bidi="ar-SA"/>
        </w:rPr>
        <w:t>春雷行动2022</w:t>
      </w:r>
      <w:r>
        <w:rPr>
          <w:rFonts w:hint="eastAsia" w:ascii="Times New Roman" w:hAnsi="Times New Roman" w:eastAsia="仿宋_GB2312" w:cs="Times New Roman"/>
          <w:i w:val="0"/>
          <w:kern w:val="0"/>
          <w:sz w:val="32"/>
          <w:szCs w:val="32"/>
          <w:lang w:val="en-US" w:eastAsia="zh-CN" w:bidi="ar-SA"/>
        </w:rPr>
        <w:t>”</w:t>
      </w:r>
      <w:r>
        <w:rPr>
          <w:rFonts w:hint="default" w:ascii="Times New Roman" w:hAnsi="Times New Roman" w:eastAsia="仿宋_GB2312" w:cs="Times New Roman"/>
          <w:i w:val="0"/>
          <w:kern w:val="0"/>
          <w:sz w:val="32"/>
          <w:szCs w:val="32"/>
          <w:lang w:val="en-US" w:eastAsia="zh-CN" w:bidi="ar-SA"/>
        </w:rPr>
        <w:t>，取缔吊销无证无照经营139户，立案1992件，处罚没款1420.5万元，挽回经济损失212余万元。开展</w:t>
      </w:r>
      <w:r>
        <w:rPr>
          <w:rFonts w:hint="eastAsia" w:ascii="Times New Roman" w:hAnsi="Times New Roman" w:eastAsia="仿宋_GB2312" w:cs="Times New Roman"/>
          <w:i w:val="0"/>
          <w:kern w:val="0"/>
          <w:sz w:val="32"/>
          <w:szCs w:val="32"/>
          <w:lang w:val="en-US" w:eastAsia="zh-CN" w:bidi="ar-SA"/>
        </w:rPr>
        <w:t>“</w:t>
      </w:r>
      <w:r>
        <w:rPr>
          <w:rFonts w:hint="default" w:ascii="Times New Roman" w:hAnsi="Times New Roman" w:eastAsia="仿宋_GB2312" w:cs="Times New Roman"/>
          <w:i w:val="0"/>
          <w:kern w:val="0"/>
          <w:sz w:val="32"/>
          <w:szCs w:val="32"/>
          <w:lang w:val="en-US" w:eastAsia="zh-CN" w:bidi="ar-SA"/>
        </w:rPr>
        <w:t>铁拳行动</w:t>
      </w:r>
      <w:r>
        <w:rPr>
          <w:rFonts w:hint="eastAsia" w:ascii="Times New Roman" w:hAnsi="Times New Roman" w:eastAsia="仿宋_GB2312" w:cs="Times New Roman"/>
          <w:i w:val="0"/>
          <w:kern w:val="0"/>
          <w:sz w:val="32"/>
          <w:szCs w:val="32"/>
          <w:lang w:val="en-US" w:eastAsia="zh-CN" w:bidi="ar-SA"/>
        </w:rPr>
        <w:t>”</w:t>
      </w:r>
      <w:r>
        <w:rPr>
          <w:rFonts w:hint="default" w:ascii="Times New Roman" w:hAnsi="Times New Roman" w:eastAsia="仿宋_GB2312" w:cs="Times New Roman"/>
          <w:i w:val="0"/>
          <w:kern w:val="0"/>
          <w:sz w:val="32"/>
          <w:szCs w:val="32"/>
          <w:lang w:val="en-US" w:eastAsia="zh-CN" w:bidi="ar-SA"/>
        </w:rPr>
        <w:t>，立案</w:t>
      </w:r>
      <w:r>
        <w:rPr>
          <w:rFonts w:hint="eastAsia" w:ascii="Times New Roman" w:hAnsi="Times New Roman" w:eastAsia="仿宋_GB2312" w:cs="Times New Roman"/>
          <w:i w:val="0"/>
          <w:kern w:val="0"/>
          <w:sz w:val="32"/>
          <w:szCs w:val="32"/>
          <w:lang w:val="en-US" w:eastAsia="zh-CN" w:bidi="ar-SA"/>
        </w:rPr>
        <w:t>407</w:t>
      </w:r>
      <w:r>
        <w:rPr>
          <w:rFonts w:hint="default" w:ascii="Times New Roman" w:hAnsi="Times New Roman" w:eastAsia="仿宋_GB2312" w:cs="Times New Roman"/>
          <w:i w:val="0"/>
          <w:kern w:val="0"/>
          <w:sz w:val="32"/>
          <w:szCs w:val="32"/>
          <w:lang w:val="en-US" w:eastAsia="zh-CN" w:bidi="ar-SA"/>
        </w:rPr>
        <w:t>件，案值</w:t>
      </w:r>
      <w:r>
        <w:rPr>
          <w:rFonts w:hint="eastAsia" w:ascii="Times New Roman" w:hAnsi="Times New Roman" w:eastAsia="仿宋_GB2312" w:cs="Times New Roman"/>
          <w:i w:val="0"/>
          <w:kern w:val="0"/>
          <w:sz w:val="32"/>
          <w:szCs w:val="32"/>
          <w:lang w:val="en-US" w:eastAsia="zh-CN" w:bidi="ar-SA"/>
        </w:rPr>
        <w:t>16627.33</w:t>
      </w:r>
      <w:r>
        <w:rPr>
          <w:rFonts w:hint="default" w:ascii="Times New Roman" w:hAnsi="Times New Roman" w:eastAsia="仿宋_GB2312" w:cs="Times New Roman"/>
          <w:i w:val="0"/>
          <w:kern w:val="0"/>
          <w:sz w:val="32"/>
          <w:szCs w:val="32"/>
          <w:lang w:val="en-US" w:eastAsia="zh-CN" w:bidi="ar-SA"/>
        </w:rPr>
        <w:t>万元，处罚没款</w:t>
      </w:r>
      <w:r>
        <w:rPr>
          <w:rFonts w:hint="eastAsia" w:ascii="Times New Roman" w:hAnsi="Times New Roman" w:eastAsia="仿宋_GB2312" w:cs="Times New Roman"/>
          <w:i w:val="0"/>
          <w:kern w:val="0"/>
          <w:sz w:val="32"/>
          <w:szCs w:val="32"/>
          <w:lang w:val="en-US" w:eastAsia="zh-CN" w:bidi="ar-SA"/>
        </w:rPr>
        <w:t>823.92</w:t>
      </w:r>
      <w:r>
        <w:rPr>
          <w:rFonts w:hint="default" w:ascii="Times New Roman" w:hAnsi="Times New Roman" w:eastAsia="仿宋_GB2312" w:cs="Times New Roman"/>
          <w:i w:val="0"/>
          <w:kern w:val="0"/>
          <w:sz w:val="32"/>
          <w:szCs w:val="32"/>
          <w:lang w:val="en-US" w:eastAsia="zh-CN" w:bidi="ar-SA"/>
        </w:rPr>
        <w:t>万元</w:t>
      </w:r>
      <w:r>
        <w:rPr>
          <w:rFonts w:hint="eastAsia" w:ascii="Times New Roman" w:hAnsi="Times New Roman" w:eastAsia="仿宋_GB2312" w:cs="Times New Roman"/>
          <w:i w:val="0"/>
          <w:kern w:val="0"/>
          <w:sz w:val="32"/>
          <w:szCs w:val="32"/>
          <w:lang w:val="en-US" w:eastAsia="zh-CN" w:bidi="ar-SA"/>
        </w:rPr>
        <w:t>，移送公安机关案件41件</w:t>
      </w:r>
      <w:r>
        <w:rPr>
          <w:rFonts w:hint="default" w:ascii="Times New Roman" w:hAnsi="Times New Roman" w:eastAsia="仿宋_GB2312" w:cs="Times New Roman"/>
          <w:i w:val="0"/>
          <w:kern w:val="0"/>
          <w:sz w:val="32"/>
          <w:szCs w:val="32"/>
          <w:lang w:val="en-US" w:eastAsia="zh-CN" w:bidi="ar-SA"/>
        </w:rPr>
        <w:t>。未成年人保护专项执法</w:t>
      </w:r>
      <w:r>
        <w:rPr>
          <w:rFonts w:hint="eastAsia" w:ascii="Times New Roman" w:hAnsi="Times New Roman" w:eastAsia="仿宋_GB2312" w:cs="Times New Roman"/>
          <w:i w:val="0"/>
          <w:kern w:val="0"/>
          <w:sz w:val="32"/>
          <w:szCs w:val="32"/>
          <w:lang w:val="en-US" w:eastAsia="zh-CN" w:bidi="ar-SA"/>
        </w:rPr>
        <w:t>整改问题隐患53个，立案查处43件。</w:t>
      </w:r>
      <w:r>
        <w:rPr>
          <w:rFonts w:hint="default" w:ascii="Times New Roman" w:hAnsi="Times New Roman" w:eastAsia="仿宋_GB2312" w:cs="Times New Roman"/>
          <w:i w:val="0"/>
          <w:kern w:val="0"/>
          <w:sz w:val="32"/>
          <w:szCs w:val="32"/>
          <w:lang w:val="en-US" w:eastAsia="zh-CN" w:bidi="ar-SA"/>
        </w:rPr>
        <w:t>叶高辉涉嫌销售假冒注册商标商品案被公安部挂牌为重大案件</w:t>
      </w:r>
      <w:r>
        <w:rPr>
          <w:rFonts w:hint="eastAsia" w:ascii="Times New Roman" w:hAnsi="Times New Roman" w:eastAsia="仿宋_GB2312" w:cs="Times New Roman"/>
          <w:i w:val="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hint="eastAsia"/>
          <w:lang w:val="zh-CN"/>
        </w:rPr>
      </w:pPr>
      <w:r>
        <w:rPr>
          <w:rFonts w:hint="default" w:ascii="楷体" w:hAnsi="楷体" w:eastAsia="楷体" w:cs="楷体"/>
          <w:b/>
          <w:bCs/>
          <w:kern w:val="2"/>
          <w:sz w:val="32"/>
          <w:szCs w:val="32"/>
          <w:lang w:val="en-US" w:eastAsia="en-US" w:bidi="ar-SA"/>
        </w:rPr>
        <w:t>（</w:t>
      </w:r>
      <w:r>
        <w:rPr>
          <w:rFonts w:hint="eastAsia" w:ascii="楷体" w:hAnsi="楷体" w:eastAsia="楷体" w:cs="楷体"/>
          <w:b/>
          <w:bCs/>
          <w:kern w:val="2"/>
          <w:sz w:val="32"/>
          <w:szCs w:val="32"/>
          <w:lang w:val="en-US" w:eastAsia="zh-CN" w:bidi="ar-SA"/>
        </w:rPr>
        <w:t>七</w:t>
      </w:r>
      <w:r>
        <w:rPr>
          <w:rFonts w:hint="default" w:ascii="楷体" w:hAnsi="楷体" w:eastAsia="楷体" w:cs="楷体"/>
          <w:b/>
          <w:bCs/>
          <w:kern w:val="2"/>
          <w:sz w:val="32"/>
          <w:szCs w:val="32"/>
          <w:lang w:val="en-US" w:eastAsia="en-US" w:bidi="ar-SA"/>
        </w:rPr>
        <w:t>）固本强基提能力，干部队伍活力</w:t>
      </w:r>
      <w:r>
        <w:rPr>
          <w:rFonts w:hint="eastAsia" w:ascii="楷体" w:hAnsi="楷体" w:eastAsia="楷体" w:cs="楷体"/>
          <w:b/>
          <w:bCs/>
          <w:kern w:val="2"/>
          <w:sz w:val="32"/>
          <w:szCs w:val="32"/>
          <w:lang w:val="en-US" w:eastAsia="zh-CN" w:bidi="ar-SA"/>
        </w:rPr>
        <w:t>持续</w:t>
      </w:r>
      <w:r>
        <w:rPr>
          <w:rFonts w:hint="default" w:ascii="楷体" w:hAnsi="楷体" w:eastAsia="楷体" w:cs="楷体"/>
          <w:b/>
          <w:bCs/>
          <w:kern w:val="2"/>
          <w:sz w:val="32"/>
          <w:szCs w:val="32"/>
          <w:lang w:val="en-US" w:eastAsia="en-US" w:bidi="ar-SA"/>
        </w:rPr>
        <w:t>迸发。</w:t>
      </w:r>
      <w:r>
        <w:rPr>
          <w:rFonts w:hint="default" w:ascii="Times New Roman" w:hAnsi="Times New Roman" w:eastAsia="仿宋_GB2312" w:cs="Times New Roman"/>
          <w:b w:val="0"/>
          <w:bCs w:val="0"/>
          <w:sz w:val="32"/>
          <w:szCs w:val="32"/>
          <w:lang w:val="en-US" w:eastAsia="zh-CN" w:bidi="ar-SA"/>
        </w:rPr>
        <w:t>一是抓青年干部</w:t>
      </w:r>
      <w:r>
        <w:rPr>
          <w:rFonts w:hint="eastAsia" w:ascii="Times New Roman" w:hAnsi="Times New Roman" w:eastAsia="仿宋_GB2312" w:cs="Times New Roman"/>
          <w:b w:val="0"/>
          <w:bCs w:val="0"/>
          <w:sz w:val="32"/>
          <w:szCs w:val="32"/>
          <w:lang w:val="en-US" w:eastAsia="zh-CN" w:bidi="ar-SA"/>
        </w:rPr>
        <w:t>“</w:t>
      </w:r>
      <w:r>
        <w:rPr>
          <w:rFonts w:hint="default" w:ascii="Times New Roman" w:hAnsi="Times New Roman" w:eastAsia="仿宋_GB2312" w:cs="Times New Roman"/>
          <w:b w:val="0"/>
          <w:bCs w:val="0"/>
          <w:sz w:val="32"/>
          <w:szCs w:val="32"/>
          <w:lang w:val="en-US" w:eastAsia="zh-CN" w:bidi="ar-SA"/>
        </w:rPr>
        <w:t>强筋铸魂</w:t>
      </w:r>
      <w:r>
        <w:rPr>
          <w:rFonts w:hint="eastAsia" w:ascii="Times New Roman" w:hAnsi="Times New Roman" w:eastAsia="仿宋_GB2312" w:cs="Times New Roman"/>
          <w:b w:val="0"/>
          <w:bCs w:val="0"/>
          <w:sz w:val="32"/>
          <w:szCs w:val="32"/>
          <w:lang w:val="en-US" w:eastAsia="zh-CN" w:bidi="ar-SA"/>
        </w:rPr>
        <w:t>”</w:t>
      </w:r>
      <w:r>
        <w:rPr>
          <w:rFonts w:hint="default" w:ascii="Times New Roman" w:hAnsi="Times New Roman" w:eastAsia="仿宋_GB2312" w:cs="Times New Roman"/>
          <w:b w:val="0"/>
          <w:bCs w:val="0"/>
          <w:sz w:val="32"/>
          <w:szCs w:val="32"/>
          <w:lang w:val="en-US" w:eastAsia="zh-CN" w:bidi="ar-SA"/>
        </w:rPr>
        <w:t>。</w:t>
      </w:r>
      <w:r>
        <w:rPr>
          <w:rFonts w:hint="eastAsia" w:ascii="Times New Roman" w:hAnsi="Times New Roman" w:eastAsia="仿宋_GB2312" w:cs="Times New Roman"/>
          <w:spacing w:val="0"/>
          <w:kern w:val="2"/>
          <w:sz w:val="32"/>
          <w:szCs w:val="32"/>
          <w:lang w:val="en-US" w:eastAsia="zh-CN" w:bidi="ar-SA"/>
        </w:rPr>
        <w:t>将青年干部成长成才作为书记项目“提能正风·护航成长”的</w:t>
      </w:r>
      <w:r>
        <w:rPr>
          <w:rFonts w:hint="default" w:ascii="Times New Roman" w:hAnsi="Times New Roman" w:eastAsia="仿宋_GB2312" w:cs="Times New Roman"/>
          <w:spacing w:val="0"/>
          <w:kern w:val="2"/>
          <w:sz w:val="32"/>
          <w:szCs w:val="32"/>
          <w:lang w:val="en-US" w:eastAsia="zh-CN" w:bidi="ar-SA"/>
        </w:rPr>
        <w:t>重要内容，创新实施青年干部</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强筋铸魂</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工程，实行领导班子成员联系</w:t>
      </w:r>
      <w:r>
        <w:rPr>
          <w:rFonts w:hint="eastAsia" w:ascii="Times New Roman" w:hAnsi="Times New Roman" w:eastAsia="仿宋_GB2312" w:cs="Times New Roman"/>
          <w:spacing w:val="0"/>
          <w:kern w:val="2"/>
          <w:sz w:val="32"/>
          <w:szCs w:val="32"/>
          <w:lang w:val="en-US" w:eastAsia="zh-CN" w:bidi="ar-SA"/>
        </w:rPr>
        <w:t>+中层骨干力量</w:t>
      </w:r>
      <w:r>
        <w:rPr>
          <w:rFonts w:hint="default" w:ascii="Times New Roman" w:hAnsi="Times New Roman" w:eastAsia="仿宋_GB2312" w:cs="Times New Roman"/>
          <w:spacing w:val="0"/>
          <w:kern w:val="2"/>
          <w:sz w:val="32"/>
          <w:szCs w:val="32"/>
          <w:lang w:val="en-US" w:eastAsia="zh-CN" w:bidi="ar-SA"/>
        </w:rPr>
        <w:t>帮带，覆盖</w:t>
      </w:r>
      <w:r>
        <w:rPr>
          <w:rFonts w:hint="eastAsia" w:ascii="Times New Roman" w:hAnsi="Times New Roman" w:eastAsia="仿宋_GB2312" w:cs="Times New Roman"/>
          <w:spacing w:val="0"/>
          <w:kern w:val="2"/>
          <w:sz w:val="32"/>
          <w:szCs w:val="32"/>
          <w:lang w:val="en-US" w:eastAsia="zh-CN" w:bidi="ar-SA"/>
        </w:rPr>
        <w:t>机关科室和</w:t>
      </w:r>
      <w:r>
        <w:rPr>
          <w:rFonts w:hint="default" w:ascii="Times New Roman" w:hAnsi="Times New Roman" w:eastAsia="仿宋_GB2312" w:cs="Times New Roman"/>
          <w:spacing w:val="0"/>
          <w:kern w:val="2"/>
          <w:sz w:val="32"/>
          <w:szCs w:val="32"/>
          <w:lang w:val="en-US" w:eastAsia="zh-CN" w:bidi="ar-SA"/>
        </w:rPr>
        <w:t>直属单位在内的青年干部52人，建立学习小组8个，推行一月一主题、一月一课堂、一月一考核</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通过信仰铸魂、实践提能、作风培优，</w:t>
      </w:r>
      <w:r>
        <w:rPr>
          <w:rFonts w:ascii="仿宋_GB2312" w:eastAsia="仿宋_GB2312" w:cs="CESI仿宋-GB2312"/>
          <w:sz w:val="32"/>
          <w:szCs w:val="32"/>
        </w:rPr>
        <w:t>打造</w:t>
      </w:r>
      <w:r>
        <w:rPr>
          <w:rFonts w:hint="eastAsia" w:ascii="仿宋_GB2312" w:eastAsia="仿宋_GB2312" w:cs="CESI仿宋-GB2312"/>
          <w:sz w:val="32"/>
          <w:szCs w:val="32"/>
          <w:lang w:eastAsia="zh-CN"/>
        </w:rPr>
        <w:t>一支</w:t>
      </w:r>
      <w:r>
        <w:rPr>
          <w:rFonts w:ascii="仿宋_GB2312" w:eastAsia="仿宋_GB2312" w:cs="CESI仿宋-GB2312"/>
          <w:sz w:val="32"/>
          <w:szCs w:val="32"/>
        </w:rPr>
        <w:t>忠诚可靠的</w:t>
      </w:r>
      <w:r>
        <w:rPr>
          <w:rFonts w:hint="eastAsia" w:ascii="仿宋_GB2312" w:eastAsia="仿宋_GB2312" w:cs="CESI仿宋-GB2312"/>
          <w:sz w:val="32"/>
          <w:szCs w:val="32"/>
          <w:lang w:eastAsia="zh-CN"/>
        </w:rPr>
        <w:t>“</w:t>
      </w:r>
      <w:r>
        <w:rPr>
          <w:rFonts w:ascii="仿宋_GB2312" w:eastAsia="仿宋_GB2312" w:cs="CESI仿宋-GB2312"/>
          <w:sz w:val="32"/>
          <w:szCs w:val="32"/>
        </w:rPr>
        <w:t>政治尖兵</w:t>
      </w:r>
      <w:r>
        <w:rPr>
          <w:rFonts w:hint="eastAsia" w:ascii="仿宋_GB2312" w:eastAsia="仿宋_GB2312" w:cs="CESI仿宋-GB2312"/>
          <w:sz w:val="32"/>
          <w:szCs w:val="32"/>
          <w:lang w:eastAsia="zh-CN"/>
        </w:rPr>
        <w:t>”</w:t>
      </w:r>
      <w:r>
        <w:rPr>
          <w:rFonts w:ascii="仿宋_GB2312" w:eastAsia="仿宋_GB2312" w:cs="CESI仿宋-GB2312"/>
          <w:sz w:val="32"/>
          <w:szCs w:val="32"/>
        </w:rPr>
        <w:t>、高效优质的</w:t>
      </w:r>
      <w:r>
        <w:rPr>
          <w:rFonts w:hint="eastAsia" w:ascii="仿宋_GB2312" w:eastAsia="仿宋_GB2312" w:cs="CESI仿宋-GB2312"/>
          <w:sz w:val="32"/>
          <w:szCs w:val="32"/>
          <w:lang w:eastAsia="zh-CN"/>
        </w:rPr>
        <w:t>“</w:t>
      </w:r>
      <w:r>
        <w:rPr>
          <w:rFonts w:ascii="仿宋_GB2312" w:eastAsia="仿宋_GB2312" w:cs="CESI仿宋-GB2312"/>
          <w:sz w:val="32"/>
          <w:szCs w:val="32"/>
        </w:rPr>
        <w:t>业务强兵</w:t>
      </w:r>
      <w:r>
        <w:rPr>
          <w:rFonts w:hint="eastAsia" w:ascii="仿宋_GB2312" w:eastAsia="仿宋_GB2312" w:cs="CESI仿宋-GB2312"/>
          <w:sz w:val="32"/>
          <w:szCs w:val="32"/>
          <w:lang w:eastAsia="zh-CN"/>
        </w:rPr>
        <w:t>”</w:t>
      </w:r>
      <w:r>
        <w:rPr>
          <w:rFonts w:ascii="仿宋_GB2312" w:eastAsia="仿宋_GB2312" w:cs="CESI仿宋-GB2312"/>
          <w:sz w:val="32"/>
          <w:szCs w:val="32"/>
        </w:rPr>
        <w:t>、担当作为的</w:t>
      </w:r>
      <w:r>
        <w:rPr>
          <w:rFonts w:hint="eastAsia" w:ascii="仿宋_GB2312" w:eastAsia="仿宋_GB2312" w:cs="CESI仿宋-GB2312"/>
          <w:sz w:val="32"/>
          <w:szCs w:val="32"/>
          <w:lang w:eastAsia="zh-CN"/>
        </w:rPr>
        <w:t>“</w:t>
      </w:r>
      <w:r>
        <w:rPr>
          <w:rFonts w:ascii="仿宋_GB2312" w:eastAsia="仿宋_GB2312" w:cs="CESI仿宋-GB2312"/>
          <w:sz w:val="32"/>
          <w:szCs w:val="32"/>
        </w:rPr>
        <w:t>先进标兵</w:t>
      </w:r>
      <w:r>
        <w:rPr>
          <w:rFonts w:hint="eastAsia" w:ascii="仿宋_GB2312" w:eastAsia="仿宋_GB2312" w:cs="CESI仿宋-GB2312"/>
          <w:sz w:val="32"/>
          <w:szCs w:val="32"/>
          <w:lang w:eastAsia="zh-CN"/>
        </w:rPr>
        <w:t>”</w:t>
      </w:r>
      <w:r>
        <w:rPr>
          <w:rFonts w:hint="default"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b w:val="0"/>
          <w:bCs w:val="0"/>
          <w:spacing w:val="0"/>
          <w:kern w:val="2"/>
          <w:sz w:val="32"/>
          <w:szCs w:val="32"/>
          <w:lang w:val="en-US" w:eastAsia="zh-CN" w:bidi="ar-SA"/>
        </w:rPr>
        <w:t>二是</w:t>
      </w:r>
      <w:r>
        <w:rPr>
          <w:rFonts w:hint="default" w:ascii="Times New Roman" w:hAnsi="Times New Roman" w:eastAsia="仿宋_GB2312" w:cs="Times New Roman"/>
          <w:b w:val="0"/>
          <w:bCs w:val="0"/>
          <w:sz w:val="32"/>
          <w:szCs w:val="32"/>
          <w:lang w:val="en-US" w:eastAsia="zh-CN" w:bidi="ar-SA"/>
        </w:rPr>
        <w:t>抓中年干部担当履职。</w:t>
      </w:r>
      <w:r>
        <w:rPr>
          <w:rFonts w:hint="default" w:ascii="Times New Roman" w:hAnsi="Times New Roman" w:eastAsia="仿宋_GB2312" w:cs="Times New Roman"/>
          <w:spacing w:val="0"/>
          <w:kern w:val="2"/>
          <w:sz w:val="32"/>
          <w:szCs w:val="32"/>
          <w:lang w:val="en-US" w:eastAsia="zh-CN" w:bidi="ar-SA"/>
        </w:rPr>
        <w:t>大胆任用培养成熟、符合条件的优秀中年干部，去年8月以来，已提拔任用科级干部8名、轮岗交流科级干部4名、岗位调整干部6名，进一步激发干部队伍活力。</w:t>
      </w:r>
      <w:r>
        <w:rPr>
          <w:rFonts w:hint="default" w:ascii="Times New Roman" w:hAnsi="Times New Roman" w:eastAsia="仿宋_GB2312" w:cs="Times New Roman"/>
          <w:b w:val="0"/>
          <w:bCs w:val="0"/>
          <w:spacing w:val="0"/>
          <w:kern w:val="2"/>
          <w:sz w:val="32"/>
          <w:szCs w:val="32"/>
          <w:lang w:val="en-US" w:eastAsia="zh-CN" w:bidi="ar-SA"/>
        </w:rPr>
        <w:t>三是</w:t>
      </w:r>
      <w:r>
        <w:rPr>
          <w:rFonts w:hint="default" w:ascii="Times New Roman" w:hAnsi="Times New Roman" w:eastAsia="仿宋_GB2312" w:cs="Times New Roman"/>
          <w:b w:val="0"/>
          <w:bCs w:val="0"/>
          <w:sz w:val="32"/>
          <w:szCs w:val="32"/>
          <w:lang w:bidi="ar-SA"/>
        </w:rPr>
        <w:t>抓老年干部</w:t>
      </w:r>
      <w:r>
        <w:rPr>
          <w:rFonts w:hint="eastAsia" w:ascii="Times New Roman" w:hAnsi="Times New Roman" w:eastAsia="仿宋_GB2312" w:cs="Times New Roman"/>
          <w:b w:val="0"/>
          <w:bCs w:val="0"/>
          <w:sz w:val="32"/>
          <w:szCs w:val="32"/>
          <w:lang w:eastAsia="zh-CN" w:bidi="ar-SA"/>
        </w:rPr>
        <w:t>“</w:t>
      </w:r>
      <w:r>
        <w:rPr>
          <w:rFonts w:hint="default" w:ascii="Times New Roman" w:hAnsi="Times New Roman" w:eastAsia="仿宋_GB2312" w:cs="Times New Roman"/>
          <w:b w:val="0"/>
          <w:bCs w:val="0"/>
          <w:sz w:val="32"/>
          <w:szCs w:val="32"/>
          <w:lang w:bidi="ar-SA"/>
        </w:rPr>
        <w:t>发光发热</w:t>
      </w:r>
      <w:r>
        <w:rPr>
          <w:rFonts w:hint="eastAsia" w:ascii="Times New Roman" w:hAnsi="Times New Roman" w:eastAsia="仿宋_GB2312" w:cs="Times New Roman"/>
          <w:b w:val="0"/>
          <w:bCs w:val="0"/>
          <w:sz w:val="32"/>
          <w:szCs w:val="32"/>
          <w:lang w:eastAsia="zh-CN" w:bidi="ar-SA"/>
        </w:rPr>
        <w:t>”</w:t>
      </w:r>
      <w:r>
        <w:rPr>
          <w:rFonts w:hint="default" w:ascii="Times New Roman" w:hAnsi="Times New Roman" w:eastAsia="仿宋_GB2312" w:cs="Times New Roman"/>
          <w:b w:val="0"/>
          <w:bCs w:val="0"/>
          <w:sz w:val="32"/>
          <w:szCs w:val="32"/>
          <w:lang w:bidi="ar-SA"/>
        </w:rPr>
        <w:t>。</w:t>
      </w:r>
      <w:r>
        <w:rPr>
          <w:rFonts w:hint="default" w:ascii="Times New Roman" w:hAnsi="Times New Roman" w:eastAsia="仿宋_GB2312" w:cs="Times New Roman"/>
          <w:spacing w:val="0"/>
          <w:kern w:val="2"/>
          <w:sz w:val="32"/>
          <w:szCs w:val="32"/>
          <w:lang w:val="en-US" w:eastAsia="zh-CN" w:bidi="ar-SA"/>
        </w:rPr>
        <w:t>抓好19名退岗干部管理服务工作，通过教育引导</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换脑</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、安排岗位</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搭台</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、关爱激励</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暖心</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，老年干部真正成为市场监管的</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智囊团</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和</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生力军</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。今年</w:t>
      </w:r>
      <w:r>
        <w:rPr>
          <w:rFonts w:hint="eastAsia" w:ascii="Times New Roman" w:hAnsi="Times New Roman" w:eastAsia="仿宋_GB2312" w:cs="Times New Roman"/>
          <w:spacing w:val="0"/>
          <w:kern w:val="2"/>
          <w:sz w:val="32"/>
          <w:szCs w:val="32"/>
          <w:lang w:val="en-US" w:eastAsia="zh-CN" w:bidi="ar-SA"/>
        </w:rPr>
        <w:t>以</w:t>
      </w:r>
      <w:r>
        <w:rPr>
          <w:rFonts w:hint="default" w:ascii="Times New Roman" w:hAnsi="Times New Roman" w:eastAsia="仿宋_GB2312" w:cs="Times New Roman"/>
          <w:spacing w:val="0"/>
          <w:kern w:val="2"/>
          <w:sz w:val="32"/>
          <w:szCs w:val="32"/>
          <w:lang w:val="en-US" w:eastAsia="zh-CN" w:bidi="ar-SA"/>
        </w:rPr>
        <w:t>来，10人次县处级干部晋升职级，完成2名同志提前退休职级晋升，12名同志晋升一级主任科员、2名同志晋升二级主任科员、1名同志晋升三级主任科员。</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（四）部门整体支出绩效目标。</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zh-CN"/>
        </w:rPr>
      </w:pPr>
      <w:r>
        <w:rPr>
          <w:rFonts w:hint="eastAsia"/>
          <w:sz w:val="32"/>
          <w:szCs w:val="32"/>
          <w:lang w:val="zh-CN" w:eastAsia="zh-CN"/>
        </w:rPr>
        <w:t>按照市委市政府要求和省局工作，围绕构建质量安全强市、市场秩序稳定、民营经济健康发展的营商环境体系总体目标，扎实推动各项重大部署落地落实、行业重点领域改革不断深化、行业治理执法能力全面提升、市场监管服务水平再上台阶、安全生产和行业稳定持续向好、党的建设和精神文明建设巩固深化等方面重点工作，当好经济社会发展先行官，服务国家、省和市重大发展战略，统筹做好全市市场监管领域各项工作助力全市经济社会高质量发展，努力建设人民群众满意营商环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bookmarkStart w:id="78" w:name="_Toc1790"/>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bookmarkEnd w:id="78"/>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部门总体收入情况</w:t>
      </w:r>
      <w:r>
        <w:rPr>
          <w:rFonts w:hint="eastAsia" w:ascii="仿宋_GB2312" w:eastAsia="仿宋_GB2312" w:cs="Times New Roman"/>
          <w:kern w:val="0"/>
          <w:sz w:val="32"/>
          <w:szCs w:val="32"/>
          <w:lang w:val="en-US" w:eastAsia="zh-CN" w:bidi="ar-SA"/>
        </w:rPr>
        <w:t>，</w:t>
      </w:r>
      <w:r>
        <w:rPr>
          <w:rFonts w:hint="eastAsia" w:ascii="仿宋_GB2312" w:hAnsi="Times New Roman" w:eastAsia="仿宋_GB2312" w:cs="Times New Roman"/>
          <w:kern w:val="0"/>
          <w:sz w:val="32"/>
          <w:szCs w:val="32"/>
          <w:lang w:val="en-US" w:eastAsia="zh-CN" w:bidi="ar-SA"/>
        </w:rPr>
        <w:t>2022年</w:t>
      </w:r>
      <w:r>
        <w:rPr>
          <w:rFonts w:hint="eastAsia" w:ascii="仿宋_GB2312" w:eastAsia="仿宋_GB2312" w:cs="Times New Roman"/>
          <w:kern w:val="0"/>
          <w:sz w:val="32"/>
          <w:szCs w:val="32"/>
          <w:lang w:val="en-US" w:eastAsia="zh-CN" w:bidi="ar-SA"/>
        </w:rPr>
        <w:t>巴中市</w:t>
      </w:r>
      <w:r>
        <w:rPr>
          <w:rFonts w:hint="eastAsia" w:ascii="仿宋_GB2312" w:hAnsi="Times New Roman" w:eastAsia="仿宋_GB2312" w:cs="Times New Roman"/>
          <w:kern w:val="0"/>
          <w:sz w:val="32"/>
          <w:szCs w:val="32"/>
          <w:lang w:val="en-US" w:eastAsia="zh-CN" w:bidi="ar-SA"/>
        </w:rPr>
        <w:t>市场监管局部门收入总计</w:t>
      </w:r>
      <w:r>
        <w:rPr>
          <w:rFonts w:hint="eastAsia" w:ascii="仿宋_GB2312" w:eastAsia="仿宋_GB2312" w:cs="Times New Roman"/>
          <w:kern w:val="0"/>
          <w:sz w:val="32"/>
          <w:szCs w:val="32"/>
          <w:lang w:val="en-US" w:eastAsia="zh-CN" w:bidi="ar-SA"/>
        </w:rPr>
        <w:t>6855.48</w:t>
      </w:r>
      <w:r>
        <w:rPr>
          <w:rFonts w:hint="eastAsia" w:ascii="仿宋_GB2312" w:hAnsi="Times New Roman" w:eastAsia="仿宋_GB2312" w:cs="Times New Roman"/>
          <w:kern w:val="0"/>
          <w:sz w:val="32"/>
          <w:szCs w:val="32"/>
          <w:lang w:val="en-US" w:eastAsia="zh-CN" w:bidi="ar-SA"/>
        </w:rPr>
        <w:t xml:space="preserve">万元， 其中：一般公共预算财政拨款收入 </w:t>
      </w:r>
      <w:r>
        <w:rPr>
          <w:rFonts w:hint="eastAsia" w:ascii="仿宋_GB2312" w:eastAsia="仿宋_GB2312" w:cs="Times New Roman"/>
          <w:kern w:val="0"/>
          <w:sz w:val="32"/>
          <w:szCs w:val="32"/>
          <w:lang w:val="en-US" w:eastAsia="zh-CN" w:bidi="ar-SA"/>
        </w:rPr>
        <w:t>5919.37</w:t>
      </w:r>
      <w:r>
        <w:rPr>
          <w:rFonts w:hint="eastAsia" w:ascii="仿宋_GB2312" w:hAnsi="Times New Roman" w:eastAsia="仿宋_GB2312" w:cs="Times New Roman"/>
          <w:kern w:val="0"/>
          <w:sz w:val="32"/>
          <w:szCs w:val="32"/>
          <w:lang w:val="en-US" w:eastAsia="zh-CN" w:bidi="ar-SA"/>
        </w:rPr>
        <w:t xml:space="preserve">万元，事业收入 </w:t>
      </w:r>
      <w:r>
        <w:rPr>
          <w:rFonts w:hint="eastAsia" w:ascii="仿宋_GB2312" w:eastAsia="仿宋_GB2312" w:cs="Times New Roman"/>
          <w:kern w:val="0"/>
          <w:sz w:val="32"/>
          <w:szCs w:val="32"/>
          <w:lang w:val="en-US" w:eastAsia="zh-CN" w:bidi="ar-SA"/>
        </w:rPr>
        <w:t>0</w:t>
      </w:r>
      <w:r>
        <w:rPr>
          <w:rFonts w:hint="eastAsia" w:ascii="仿宋_GB2312" w:hAnsi="Times New Roman" w:eastAsia="仿宋_GB2312" w:cs="Times New Roman"/>
          <w:kern w:val="0"/>
          <w:sz w:val="32"/>
          <w:szCs w:val="32"/>
          <w:lang w:val="en-US" w:eastAsia="zh-CN" w:bidi="ar-SA"/>
        </w:rPr>
        <w:t>万元，经营收入</w:t>
      </w:r>
      <w:r>
        <w:rPr>
          <w:rFonts w:hint="eastAsia" w:ascii="仿宋_GB2312" w:eastAsia="仿宋_GB2312" w:cs="Times New Roman"/>
          <w:kern w:val="0"/>
          <w:sz w:val="32"/>
          <w:szCs w:val="32"/>
          <w:lang w:val="en-US" w:eastAsia="zh-CN" w:bidi="ar-SA"/>
        </w:rPr>
        <w:t>0</w:t>
      </w:r>
      <w:r>
        <w:rPr>
          <w:rFonts w:hint="eastAsia" w:ascii="仿宋_GB2312" w:hAnsi="Times New Roman" w:eastAsia="仿宋_GB2312" w:cs="Times New Roman"/>
          <w:kern w:val="0"/>
          <w:sz w:val="32"/>
          <w:szCs w:val="32"/>
          <w:lang w:val="en-US" w:eastAsia="zh-CN" w:bidi="ar-SA"/>
        </w:rPr>
        <w:t>万元，其他收入</w:t>
      </w:r>
      <w:r>
        <w:rPr>
          <w:rFonts w:hint="eastAsia" w:ascii="仿宋_GB2312" w:eastAsia="仿宋_GB2312" w:cs="Times New Roman"/>
          <w:kern w:val="0"/>
          <w:sz w:val="32"/>
          <w:szCs w:val="32"/>
          <w:lang w:val="en-US" w:eastAsia="zh-CN" w:bidi="ar-SA"/>
        </w:rPr>
        <w:t>0</w:t>
      </w:r>
      <w:r>
        <w:rPr>
          <w:rFonts w:hint="eastAsia" w:ascii="仿宋_GB2312" w:hAnsi="Times New Roman" w:eastAsia="仿宋_GB2312" w:cs="Times New Roman"/>
          <w:kern w:val="0"/>
          <w:sz w:val="32"/>
          <w:szCs w:val="32"/>
          <w:lang w:val="en-US" w:eastAsia="zh-CN" w:bidi="ar-SA"/>
        </w:rPr>
        <w:t xml:space="preserve">万元，使用非财政拨款结余 </w:t>
      </w:r>
      <w:r>
        <w:rPr>
          <w:rFonts w:hint="eastAsia" w:ascii="仿宋_GB2312" w:eastAsia="仿宋_GB2312" w:cs="Times New Roman"/>
          <w:kern w:val="0"/>
          <w:sz w:val="32"/>
          <w:szCs w:val="32"/>
          <w:lang w:val="en-US" w:eastAsia="zh-CN" w:bidi="ar-SA"/>
        </w:rPr>
        <w:t>0</w:t>
      </w:r>
      <w:r>
        <w:rPr>
          <w:rFonts w:hint="eastAsia" w:ascii="仿宋_GB2312" w:hAnsi="Times New Roman" w:eastAsia="仿宋_GB2312" w:cs="Times New Roman"/>
          <w:kern w:val="0"/>
          <w:sz w:val="32"/>
          <w:szCs w:val="32"/>
          <w:lang w:val="en-US" w:eastAsia="zh-CN" w:bidi="ar-SA"/>
        </w:rPr>
        <w:t>万元</w:t>
      </w:r>
      <w:r>
        <w:rPr>
          <w:rFonts w:hint="eastAsia" w:ascii="仿宋_GB2312" w:eastAsia="仿宋_GB2312" w:cs="Times New Roman"/>
          <w:kern w:val="0"/>
          <w:sz w:val="32"/>
          <w:szCs w:val="32"/>
          <w:lang w:val="en-US" w:eastAsia="zh-CN" w:bidi="ar-SA"/>
        </w:rPr>
        <w:t>，</w:t>
      </w:r>
      <w:r>
        <w:rPr>
          <w:rFonts w:hint="eastAsia" w:ascii="仿宋_GB2312" w:hAnsi="Times New Roman" w:eastAsia="仿宋_GB2312" w:cs="Times New Roman"/>
          <w:kern w:val="0"/>
          <w:sz w:val="32"/>
          <w:szCs w:val="32"/>
          <w:lang w:val="en-US" w:eastAsia="zh-CN" w:bidi="ar-SA"/>
        </w:rPr>
        <w:t>年初结转和结余</w:t>
      </w:r>
      <w:r>
        <w:rPr>
          <w:rFonts w:hint="eastAsia" w:ascii="仿宋_GB2312" w:eastAsia="仿宋_GB2312" w:cs="Times New Roman"/>
          <w:kern w:val="0"/>
          <w:sz w:val="32"/>
          <w:szCs w:val="32"/>
          <w:lang w:val="en-US" w:eastAsia="zh-CN" w:bidi="ar-SA"/>
        </w:rPr>
        <w:t>936.11</w:t>
      </w:r>
      <w:r>
        <w:rPr>
          <w:rFonts w:hint="eastAsia" w:ascii="仿宋_GB2312" w:hAnsi="Times New Roman" w:eastAsia="仿宋_GB2312" w:cs="Times New Roman"/>
          <w:kern w:val="0"/>
          <w:sz w:val="32"/>
          <w:szCs w:val="32"/>
          <w:lang w:val="en-US" w:eastAsia="zh-CN" w:bidi="ar-SA"/>
        </w:rPr>
        <w:t>万元。部门总体支出情况</w:t>
      </w:r>
      <w:r>
        <w:rPr>
          <w:rFonts w:hint="eastAsia" w:ascii="仿宋_GB2312" w:eastAsia="仿宋_GB2312" w:cs="Times New Roman"/>
          <w:kern w:val="0"/>
          <w:sz w:val="32"/>
          <w:szCs w:val="32"/>
          <w:lang w:val="en-US" w:eastAsia="zh-CN" w:bidi="ar-SA"/>
        </w:rPr>
        <w:t>，</w:t>
      </w:r>
      <w:r>
        <w:rPr>
          <w:rFonts w:hint="eastAsia" w:ascii="仿宋_GB2312" w:hAnsi="Times New Roman" w:eastAsia="仿宋_GB2312" w:cs="Times New Roman"/>
          <w:kern w:val="0"/>
          <w:sz w:val="32"/>
          <w:szCs w:val="32"/>
          <w:lang w:val="en-US" w:eastAsia="zh-CN" w:bidi="ar-SA"/>
        </w:rPr>
        <w:t>2022年，</w:t>
      </w:r>
      <w:r>
        <w:rPr>
          <w:rFonts w:hint="eastAsia" w:ascii="仿宋_GB2312" w:eastAsia="仿宋_GB2312" w:cs="Times New Roman"/>
          <w:kern w:val="0"/>
          <w:sz w:val="32"/>
          <w:szCs w:val="32"/>
          <w:lang w:val="en-US" w:eastAsia="zh-CN" w:bidi="ar-SA"/>
        </w:rPr>
        <w:t>巴中市</w:t>
      </w:r>
      <w:r>
        <w:rPr>
          <w:rFonts w:hint="eastAsia" w:ascii="仿宋_GB2312" w:hAnsi="Times New Roman" w:eastAsia="仿宋_GB2312" w:cs="Times New Roman"/>
          <w:kern w:val="0"/>
          <w:sz w:val="32"/>
          <w:szCs w:val="32"/>
          <w:lang w:val="en-US" w:eastAsia="zh-CN" w:bidi="ar-SA"/>
        </w:rPr>
        <w:t>市场监管局部门支出总计</w:t>
      </w:r>
      <w:r>
        <w:rPr>
          <w:rFonts w:hint="eastAsia" w:ascii="仿宋_GB2312" w:eastAsia="仿宋_GB2312" w:cs="Times New Roman"/>
          <w:kern w:val="0"/>
          <w:sz w:val="32"/>
          <w:szCs w:val="32"/>
          <w:lang w:val="en-US" w:eastAsia="zh-CN" w:bidi="ar-SA"/>
        </w:rPr>
        <w:t>6603.24</w:t>
      </w:r>
      <w:r>
        <w:rPr>
          <w:rFonts w:hint="eastAsia" w:ascii="仿宋_GB2312" w:hAnsi="Times New Roman" w:eastAsia="仿宋_GB2312" w:cs="Times New Roman"/>
          <w:kern w:val="0"/>
          <w:sz w:val="32"/>
          <w:szCs w:val="32"/>
          <w:lang w:val="en-US" w:eastAsia="zh-CN" w:bidi="ar-SA"/>
        </w:rPr>
        <w:t>万元，其中：基本支出</w:t>
      </w:r>
      <w:r>
        <w:rPr>
          <w:rFonts w:hint="eastAsia" w:ascii="仿宋_GB2312" w:eastAsia="仿宋_GB2312" w:cs="Times New Roman"/>
          <w:kern w:val="0"/>
          <w:sz w:val="32"/>
          <w:szCs w:val="32"/>
          <w:lang w:val="en-US" w:eastAsia="zh-CN" w:bidi="ar-SA"/>
        </w:rPr>
        <w:t>5124.17</w:t>
      </w:r>
      <w:r>
        <w:rPr>
          <w:rFonts w:hint="eastAsia" w:ascii="仿宋_GB2312" w:hAnsi="Times New Roman" w:eastAsia="仿宋_GB2312" w:cs="Times New Roman"/>
          <w:kern w:val="0"/>
          <w:sz w:val="32"/>
          <w:szCs w:val="32"/>
          <w:lang w:val="en-US" w:eastAsia="zh-CN" w:bidi="ar-SA"/>
        </w:rPr>
        <w:t xml:space="preserve">万元，项目支出 </w:t>
      </w:r>
      <w:r>
        <w:rPr>
          <w:rFonts w:hint="eastAsia" w:ascii="仿宋_GB2312" w:eastAsia="仿宋_GB2312" w:cs="Times New Roman"/>
          <w:kern w:val="0"/>
          <w:sz w:val="32"/>
          <w:szCs w:val="32"/>
          <w:lang w:val="en-US" w:eastAsia="zh-CN" w:bidi="ar-SA"/>
        </w:rPr>
        <w:t>1479.07</w:t>
      </w:r>
      <w:r>
        <w:rPr>
          <w:rFonts w:hint="eastAsia" w:ascii="仿宋_GB2312" w:hAnsi="Times New Roman" w:eastAsia="仿宋_GB2312" w:cs="Times New Roman"/>
          <w:kern w:val="0"/>
          <w:sz w:val="32"/>
          <w:szCs w:val="32"/>
          <w:lang w:val="en-US" w:eastAsia="zh-CN" w:bidi="ar-SA"/>
        </w:rPr>
        <w:t>万元。</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bidi="ar"/>
        </w:rPr>
        <w:t>部门财政拨款收入情况，2022年巴中市市场监管局部门预算财政拨款收入总额为5919.37万元，全部为当年财政拨款收入。部门财政拨款支出情况, 2022年巴中市市场监管局部门财政拨款决算支出总额为6603.24万元，其中基本支出5124.17万元（人员经费支出4276.38万元，公用经费支出847.79万元）；项目支出1479.07万元。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2022年我局积极推动绩效管理与预算管理相辅相成，逐步建立绩效目标与预算“同步编制、同步审核、同步批复、同步公开”的编审程序，促进绩效管理与预算编制、执行、监督相结合，实现预算和绩效管理一体化，较好地完成了部门预算项目绩效目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1.人员类项目绩效分析</w:t>
      </w:r>
      <w:r>
        <w:rPr>
          <w:rFonts w:hint="eastAsia" w:ascii="仿宋_GB2312" w:hAnsi="仿宋_GB2312" w:eastAsia="仿宋_GB2312" w:cs="仿宋_GB2312"/>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（1）绩效目标制定情况。我局根据部门人员类预算项目特点，按照严格执行相关政策，保障工资及时发放、足额发放，预算编制科学合理，减少结余资金等相关要求，设置人员类预算项目绩效目标。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（2）目标实现情况。2022年我局严格执行相关政策，保障工资及时、足额发放，预算编制科学合理，减少结余资金，预期实现了部门履职效能。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（3）及时处置情况。部门及时组织各预算单位针对绩效运行监控发现有问题的项目采取了有效措施，加快了全年预算执行进度。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（4）执行进度情况。2022 年我局部门人员类预算总执行率 95%以上。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（5）资金结余率情况。2022年我局部门人员类结余率均小于5%，项目资金结余率小于30%，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（6）违规记录情况。2022年度我局部门人员类项目未出现违纪违规等问题。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2" w:firstLineChars="200"/>
        <w:jc w:val="left"/>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 xml:space="preserve">2.运转类项目绩效分析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1）绩效目标制定情况。我局各单位根据部门运转类预算项目特点，按照年度各项重点工作任务目标和预算安排资金情况，以及保障本单位履行职能和单位日常运转，提高预算编制质量，严格执行预算等相关要求，设置运转类预算项目绩效目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（2）目标实现情况。2022年我局部门运转类预算项目保障了单位日常运转，保障率100%，“三公经费”控制率进一步提升，预期履职效益突出。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（3）及时处置情况。部门及时组织各预算单位针对绩效运行监控有问题的项目采取了有效措施，加快全年预算执 行进度。 </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 执行进度情况。2022年我局部门运转类预算总体执行率85%左右，因疫情原因，差旅费、会议费等支出减少对预算执行造成一定影响。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（5）资金结余率情况。2022 年我局部门运转类项目结余率小于15%。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lang w:val="en-US" w:eastAsia="zh-CN"/>
        </w:rPr>
      </w:pPr>
      <w:r>
        <w:rPr>
          <w:rFonts w:hint="eastAsia" w:ascii="仿宋_GB2312" w:hAnsi="仿宋_GB2312" w:eastAsia="仿宋_GB2312" w:cs="仿宋_GB2312"/>
          <w:kern w:val="0"/>
          <w:sz w:val="32"/>
          <w:szCs w:val="32"/>
          <w:lang w:val="en-US" w:eastAsia="zh-CN" w:bidi="ar"/>
        </w:rPr>
        <w:t>（6）2022年度我局部门运转类项目未出现违纪违规等问题。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 xml:space="preserve">3.特定目标类项目绩效分析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绩效目标制定情况。我局根据部门及单位特定目标类预算项目特点，按照完成特定的工作任务、事业发展目标及预算安排资金情况等相关要求设置特定类预算项目绩效目标。   </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lang w:val="en-US" w:eastAsia="zh-CN"/>
        </w:rPr>
      </w:pPr>
      <w:r>
        <w:rPr>
          <w:rFonts w:hint="eastAsia" w:ascii="仿宋_GB2312" w:hAnsi="仿宋_GB2312" w:eastAsia="仿宋_GB2312" w:cs="仿宋_GB2312"/>
          <w:kern w:val="0"/>
          <w:sz w:val="32"/>
          <w:szCs w:val="32"/>
          <w:lang w:val="en-US" w:eastAsia="zh-CN" w:bidi="ar"/>
        </w:rPr>
        <w:t>（2）目标实现情况。2022年我局部门特定目标类预算项目保障了特定的工作任务和事业发展目标的完成，预期履职效益突出。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（3）及时处置情况。部门及时组织各预算单位针对监控预警项目采取有效措施，针对执行等方面有问题的项目，提出调整处置意见，经同级财政批复同意后进行部门预算调整。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（4）执行进度情况。2022年我局部门特定目标类财政拨款总体预算执行率80%以上 ，受疫情和资金下达时间有关系。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（5）资金结余率情况。2022 年我局部门特定目标类结余率20%左右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仿宋_GB2312" w:hAnsi="仿宋_GB2312" w:eastAsia="仿宋_GB2312" w:cs="仿宋_GB2312"/>
          <w:kern w:val="0"/>
          <w:sz w:val="32"/>
          <w:szCs w:val="32"/>
          <w:lang w:val="en-US" w:eastAsia="zh-CN" w:bidi="ar"/>
        </w:rPr>
        <w:t>（6）违规记录情况。未出现违纪违规等问题。</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1.部门整体绩效目标完成情况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（1）产出指标部分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①数量指标。一是始终聚焦“春雷行动”执法品牌有的放矢。大力开展“铁拳”“春雷”等专项行动，查办一批民生领域典型案件，实现全市“春雷行动”执法全覆盖的预期绩效目标；二是始终持续筑牢食品安全、工业产品安全、特种设备安全底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②质量指标。我市着力提高食品监管质量，各项年度质量指标均 100%完成，其中：省级食品监督抽检不合格产品核查处置率 100%；食品抽检应公布信息公布率100%。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③时效指标。部门整体绩效目标按预期全面完成。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④成本指标。普通食品抽检监测平均成本控制在 1700 元/批次以内。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（2）效益指标部分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①社会效益指标。着力锻造市场监管铁军，着力防范化 解风险隐患，提升安全与保障能力。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②可持续影响指标。围绕构建质量安全强市、市场秩序 稳定、民营经济健康发展的营商环境体系为目标，始终将保 安全作为底线要求，倾力助企纾困解难，着力防范化解风险 隐患。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（3）满意度指标。全市人民群众食品安全满意度总体得分逐年稳步提高，食品安全保障水平不断提升。</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2.部门履职情况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lang w:val="en-US" w:eastAsia="zh-CN"/>
        </w:rPr>
      </w:pPr>
      <w:r>
        <w:rPr>
          <w:rFonts w:hint="eastAsia" w:ascii="仿宋_GB2312" w:hAnsi="仿宋_GB2312" w:eastAsia="仿宋_GB2312" w:cs="仿宋_GB2312"/>
          <w:kern w:val="0"/>
          <w:sz w:val="32"/>
          <w:szCs w:val="32"/>
          <w:lang w:val="en-US" w:eastAsia="zh-CN" w:bidi="ar"/>
        </w:rPr>
        <w:t>2022年，我局始终将讲政治作为首要原则，认真学习贯 彻习近平新时代中国特色社会主义思想，迅速兴起学习宣传 贯彻党的二十大精神热潮，深刻领悟“两个确立”的决定性 意义，切实增强做到“两个维护”的政治自觉、思想自觉和 行动自觉。严格履行部门法定职责，着力锻造市场监管铁军， 严格落实全面从严治党主体责任，始终围绕构建质量安全强市、市场秩序稳定、民营经济健康发展的营商环境体系目标，始终将保安全作为底线要求，着力防范化解风险隐患，始终聚焦拼经济搞建设，倾力助企纾困解难，始终聚焦群众所需所盼，因时因势加强稳价保质工作，切实兜牢民生底线，始终聚焦案件查办，着力形成有力有效震慑。</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1.内部应用。通过建立绩效评价结果与预算安排挂钩机制，将内设机构和直属单位绩效自评纳入考核体系，将绩效评价结果作为全过程预算绩效管理结果应用的重要指标，并与下一年度预算安排进行挂钩。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2.自评公开。按照自评公开的要求，我局按时将预算项目绩效目标完成情况、部门整体支出绩效自评报告等内容随部门年终决算在市市场监管局门户网站向社会同步公开，主动接受社会监督。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问题整改。我局根据绩效管理过程中存在的问题，及时组织相关科室室及直属单位进行认真梳理分析，研究制定整改措施。对局机关上年预算执行进度较差的项目逗硬绩效结果应用，在安排下年预算时进行了结果应用，综合压减率30%。</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lang w:val="zh-CN" w:eastAsia="zh-CN"/>
        </w:rPr>
      </w:pPr>
      <w:r>
        <w:rPr>
          <w:rFonts w:hint="eastAsia" w:ascii="仿宋_GB2312" w:hAnsi="仿宋_GB2312" w:eastAsia="仿宋_GB2312" w:cs="仿宋_GB2312"/>
          <w:kern w:val="0"/>
          <w:sz w:val="32"/>
          <w:szCs w:val="32"/>
          <w:lang w:val="en-US" w:eastAsia="zh-CN" w:bidi="ar"/>
        </w:rPr>
        <w:t xml:space="preserve"> 4.应用反馈。我局认真抓好绩效问题整改相关工作。按照要求将部门整体支出自评结果在市市场监管局门户网站进行公开，向同级财政报送各类自评整改情况，切实抓好整改各项工作。同时逗硬绩效评价结果应用，将评价结果作为次年预算编制的重要依据，并优化支出结构、完善相关办法、改进预算管理。</w:t>
      </w:r>
    </w:p>
    <w:p>
      <w:pPr>
        <w:keepNext w:val="0"/>
        <w:keepLines w:val="0"/>
        <w:pageBreakBefore w:val="0"/>
        <w:widowControl/>
        <w:numPr>
          <w:ilvl w:val="0"/>
          <w:numId w:val="8"/>
        </w:numPr>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宋体"/>
          <w:color w:val="auto"/>
          <w:kern w:val="0"/>
          <w:sz w:val="32"/>
          <w:szCs w:val="32"/>
          <w:highlight w:val="none"/>
          <w:shd w:val="clear" w:color="auto" w:fill="FFFFFF"/>
        </w:rPr>
      </w:pPr>
      <w:r>
        <w:rPr>
          <w:rFonts w:hint="eastAsia" w:ascii="仿宋_GB2312" w:hAnsi="仿宋_GB2312" w:eastAsia="仿宋_GB2312" w:cs="仿宋_GB2312"/>
          <w:kern w:val="0"/>
          <w:sz w:val="32"/>
          <w:szCs w:val="32"/>
          <w:lang w:val="en-US" w:eastAsia="zh-CN" w:bidi="ar"/>
        </w:rPr>
        <w:t>我局对照全年预算绩效目标实现情况，逐项对照绩效指标进行客观、实事求是的自评打分，打分结果真实反映了本单位全面预算绩效管理工作情况。</w:t>
      </w:r>
      <w:bookmarkStart w:id="79" w:name="_Toc1313"/>
    </w:p>
    <w:p>
      <w:pPr>
        <w:keepNext w:val="0"/>
        <w:keepLines w:val="0"/>
        <w:pageBreakBefore w:val="0"/>
        <w:widowControl/>
        <w:kinsoku/>
        <w:wordWrap/>
        <w:overflowPunct/>
        <w:topLinePunct w:val="0"/>
        <w:autoSpaceDE/>
        <w:autoSpaceDN/>
        <w:bidi w:val="0"/>
        <w:adjustRightInd w:val="0"/>
        <w:snapToGrid w:val="0"/>
        <w:spacing w:line="480"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bookmarkEnd w:id="79"/>
    </w:p>
    <w:p>
      <w:pPr>
        <w:keepNext w:val="0"/>
        <w:keepLines w:val="0"/>
        <w:pageBreakBefore w:val="0"/>
        <w:widowControl/>
        <w:kinsoku/>
        <w:wordWrap/>
        <w:overflowPunct/>
        <w:topLinePunct w:val="0"/>
        <w:autoSpaceDE/>
        <w:autoSpaceDN/>
        <w:bidi w:val="0"/>
        <w:adjustRightInd w:val="0"/>
        <w:snapToGrid w:val="0"/>
        <w:spacing w:line="48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lang w:val="zh-CN"/>
        </w:rPr>
      </w:pPr>
      <w:r>
        <w:rPr>
          <w:rFonts w:hint="eastAsia" w:ascii="仿宋_GB2312" w:hAnsi="仿宋_GB2312" w:eastAsia="仿宋_GB2312" w:cs="仿宋_GB2312"/>
          <w:kern w:val="0"/>
          <w:sz w:val="32"/>
          <w:szCs w:val="32"/>
          <w:lang w:val="en-US" w:eastAsia="zh-CN" w:bidi="ar"/>
        </w:rPr>
        <w:t>2022 年，我局部门预算编制较为准确、绩效目标设置基本科学合理，较好地履行了部门法定职责以及年度重点工作，完成了年初制定的绩效目标各项任务，基本达到预期目标，有效保障了市市场监管系统正常运转，着力推动了市场智慧监管体系的构建，提升了现代治理效率。</w:t>
      </w:r>
    </w:p>
    <w:p>
      <w:pPr>
        <w:keepNext w:val="0"/>
        <w:keepLines w:val="0"/>
        <w:pageBreakBefore w:val="0"/>
        <w:widowControl/>
        <w:numPr>
          <w:ilvl w:val="0"/>
          <w:numId w:val="9"/>
        </w:numPr>
        <w:kinsoku/>
        <w:wordWrap/>
        <w:overflowPunct/>
        <w:topLinePunct w:val="0"/>
        <w:autoSpaceDE/>
        <w:autoSpaceDN/>
        <w:bidi w:val="0"/>
        <w:adjustRightInd w:val="0"/>
        <w:snapToGrid w:val="0"/>
        <w:spacing w:line="48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存在问题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一是预算编制精细化程度有待进一步提高。从财政资金结余角度来看，反映出我部门实际执行与预算存在一定偏差。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lang w:val="zh-CN"/>
        </w:rPr>
      </w:pPr>
      <w:r>
        <w:rPr>
          <w:rFonts w:hint="eastAsia" w:ascii="仿宋_GB2312" w:hAnsi="仿宋_GB2312" w:eastAsia="仿宋_GB2312" w:cs="仿宋_GB2312"/>
          <w:kern w:val="0"/>
          <w:sz w:val="32"/>
          <w:szCs w:val="32"/>
          <w:lang w:val="en-US" w:eastAsia="zh-CN" w:bidi="ar"/>
        </w:rPr>
        <w:t>二是预算执行进度略为滞后。根据财政预算一体化平台预算执行情况的统计数据。</w:t>
      </w:r>
    </w:p>
    <w:p>
      <w:pPr>
        <w:keepNext w:val="0"/>
        <w:keepLines w:val="0"/>
        <w:pageBreakBefore w:val="0"/>
        <w:widowControl/>
        <w:numPr>
          <w:ilvl w:val="0"/>
          <w:numId w:val="9"/>
        </w:numPr>
        <w:kinsoku/>
        <w:wordWrap/>
        <w:overflowPunct/>
        <w:topLinePunct w:val="0"/>
        <w:autoSpaceDE/>
        <w:autoSpaceDN/>
        <w:bidi w:val="0"/>
        <w:adjustRightInd w:val="0"/>
        <w:snapToGrid w:val="0"/>
        <w:spacing w:line="480" w:lineRule="exact"/>
        <w:ind w:left="0" w:leftChars="0"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改进建议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一是扎实开展项目事前绩效评估，加强预算项目前端管控，建立健全项目入库评估评审管理机制，推动预算安排理性决策。</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二是加大预算绩效动态双监控力度。加强对各单位预算绩效执行的严格考核，督促各预算单位加快预算执行进度，将预算绩效运行监控结果运用于中期评估。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三是深入开展预算项目绩效评价，考核项目实施效果。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四是强化评价结果应用，推动预算绩效管理工作可持续发展。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五是加大培训力度。加大对市场监管领域财务人员培训。</w:t>
      </w:r>
    </w:p>
    <w:p>
      <w:pPr>
        <w:keepNext w:val="0"/>
        <w:keepLines w:val="0"/>
        <w:pageBreakBefore w:val="0"/>
        <w:kinsoku/>
        <w:wordWrap/>
        <w:overflowPunct/>
        <w:topLinePunct w:val="0"/>
        <w:autoSpaceDE/>
        <w:autoSpaceDN/>
        <w:bidi w:val="0"/>
        <w:spacing w:line="560" w:lineRule="exact"/>
        <w:textAlignment w:val="auto"/>
      </w:pP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202</w:t>
      </w:r>
      <w:r>
        <w:rPr>
          <w:rFonts w:hint="default" w:ascii="方正小标宋简体" w:hAnsi="方正小标宋简体" w:eastAsia="方正小标宋简体" w:cs="方正小标宋简体"/>
          <w:color w:val="auto"/>
          <w:kern w:val="2"/>
          <w:sz w:val="44"/>
          <w:szCs w:val="44"/>
          <w:highlight w:val="none"/>
          <w:lang w:val="en" w:eastAsia="zh-CN"/>
        </w:rPr>
        <w:t>2</w:t>
      </w:r>
      <w:r>
        <w:rPr>
          <w:rFonts w:hint="eastAsia" w:ascii="方正小标宋简体" w:hAnsi="方正小标宋简体" w:eastAsia="方正小标宋简体" w:cs="方正小标宋简体"/>
          <w:color w:val="auto"/>
          <w:kern w:val="2"/>
          <w:sz w:val="44"/>
          <w:szCs w:val="44"/>
          <w:highlight w:val="none"/>
          <w:lang w:val="en-US" w:eastAsia="zh-CN"/>
        </w:rPr>
        <w:t>年巴中市市场监督管理局</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中央药品监管补助资金预算项目绩效自评报 告</w:t>
      </w:r>
    </w:p>
    <w:p>
      <w:pPr>
        <w:pStyle w:val="35"/>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lang w:val="zh-CN"/>
        </w:rPr>
      </w:pPr>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1．主管部门职能</w:t>
      </w:r>
    </w:p>
    <w:p>
      <w:pPr>
        <w:pStyle w:val="2"/>
        <w:ind w:firstLine="600" w:firstLineChars="200"/>
        <w:rPr>
          <w:rFonts w:hint="eastAsia"/>
          <w:lang w:val="zh-CN"/>
        </w:rPr>
      </w:pPr>
      <w:r>
        <w:rPr>
          <w:rFonts w:hint="eastAsia"/>
          <w:lang w:val="zh-CN" w:eastAsia="zh-CN"/>
        </w:rPr>
        <w:t>巴中市市场监管局立足市场监督管理基本职能，全面贯彻执 行国家和省市市场监督管理的方针、政策和法律法规规章，组织开展质量技术监督、食品药品监管、价格监督管理、标准化和知识产权管理等工作，依法进行市场监督管理和行政执法，切实规范和维护市场秩序，营造诚实守信、公平竞争的市场环境。巴中市市场监管局具体职能包括负责全市市场综合监管；全市市场主体统一登记注册；组织和指导全市市场监管综合执法、反垄断统一执法；监管全市市场秩序；负责全市宏观质量、产品质量安全、特种设备安全监管；负责食品安全监督管理综合协调及食品安全监管；统一管理全市计量、标准化、检验检测、认证认可工作；负责市场监管科技和信息化建设、新闻宣传；负责全市知识产权战略、规划的制定，负责知识产权的保护，负责组织指导商标、专利执法；负责促进全市民营经济发展；负责职责范围内的安全生产和职业健康、生态环境保护、审批服务便民化；完成市委、市政府交办的其他任务。</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642"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en-US" w:eastAsia="zh-CN"/>
        </w:rPr>
        <w:t>2.</w:t>
      </w:r>
      <w:r>
        <w:rPr>
          <w:rFonts w:hint="eastAsia" w:ascii="楷体_GB2312" w:hAnsi="宋体" w:eastAsia="楷体_GB2312"/>
          <w:b/>
          <w:color w:val="auto"/>
          <w:sz w:val="32"/>
          <w:szCs w:val="32"/>
          <w:highlight w:val="none"/>
          <w:u w:val="none"/>
          <w:lang w:val="zh-CN"/>
        </w:rPr>
        <w:t>项目立项与资金申报依据</w:t>
      </w:r>
    </w:p>
    <w:p>
      <w:pPr>
        <w:pStyle w:val="2"/>
        <w:numPr>
          <w:ilvl w:val="0"/>
          <w:numId w:val="0"/>
        </w:numPr>
        <w:ind w:firstLine="600" w:firstLineChars="200"/>
        <w:rPr>
          <w:rFonts w:hint="eastAsia"/>
          <w:lang w:val="zh-CN"/>
        </w:rPr>
      </w:pPr>
      <w:r>
        <w:rPr>
          <w:rFonts w:hint="eastAsia"/>
          <w:lang w:val="zh-CN" w:eastAsia="zh-CN"/>
        </w:rPr>
        <w:t>巴中市市场监管局立足全市市场监管需要，根据相关法律法 规和文件精神，立项并申报2022年中央药品监管专资金，主要用于药品抽检、医疗器械抽检、化妆品抽检、药品监管人员培训、药物滥用常规监测等工作。上述资金立项及申报具体依据主要包括《产品质量监督抽查管理暂行办法》、《中华人民共和国药品管理法》、《化妆品监督管理条例》《关于下达</w:t>
      </w:r>
      <w:r>
        <w:rPr>
          <w:rFonts w:hint="eastAsia" w:ascii="Times New Roman" w:cs="Times New Roman"/>
          <w:color w:val="000000"/>
          <w:sz w:val="32"/>
          <w:szCs w:val="32"/>
          <w:u w:val="none"/>
          <w:lang w:val="en-US" w:eastAsia="zh-CN"/>
        </w:rPr>
        <w:t>2022</w:t>
      </w:r>
      <w:r>
        <w:rPr>
          <w:rFonts w:hint="eastAsia"/>
          <w:lang w:val="en-US" w:eastAsia="zh-CN"/>
        </w:rPr>
        <w:t>年中央监管补助资金的通知</w:t>
      </w:r>
      <w:r>
        <w:rPr>
          <w:rFonts w:hint="eastAsia"/>
          <w:lang w:val="zh-CN" w:eastAsia="zh-CN"/>
        </w:rPr>
        <w:t>》（川财行</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202</w:t>
      </w:r>
      <w:r>
        <w:rPr>
          <w:rFonts w:hint="eastAsia" w:ascii="Times New Roman" w:hAnsi="Times New Roman" w:cs="Times New Roman"/>
          <w:color w:val="000000"/>
          <w:sz w:val="32"/>
          <w:szCs w:val="32"/>
          <w:u w:val="none"/>
          <w:lang w:val="en-US" w:eastAsia="zh-CN"/>
        </w:rPr>
        <w:t>2</w:t>
      </w:r>
      <w:r>
        <w:rPr>
          <w:rFonts w:hint="default" w:ascii="Times New Roman" w:hAnsi="Times New Roman" w:eastAsia="仿宋_GB2312" w:cs="Times New Roman"/>
          <w:color w:val="000000"/>
          <w:sz w:val="32"/>
          <w:szCs w:val="32"/>
          <w:u w:val="none"/>
          <w:lang w:eastAsia="zh-CN"/>
        </w:rPr>
        <w:t>〕</w:t>
      </w:r>
      <w:r>
        <w:rPr>
          <w:rFonts w:hint="eastAsia" w:ascii="Times New Roman" w:cs="Times New Roman"/>
          <w:color w:val="000000"/>
          <w:sz w:val="32"/>
          <w:szCs w:val="32"/>
          <w:u w:val="none"/>
          <w:lang w:val="en-US" w:eastAsia="zh-CN"/>
        </w:rPr>
        <w:t>86</w:t>
      </w:r>
      <w:r>
        <w:rPr>
          <w:rFonts w:hint="eastAsia" w:ascii="Times New Roman" w:hAnsi="Times New Roman" w:cs="Times New Roman"/>
          <w:color w:val="000000"/>
          <w:sz w:val="32"/>
          <w:szCs w:val="32"/>
          <w:u w:val="none"/>
          <w:lang w:val="en-US" w:eastAsia="zh-CN"/>
        </w:rPr>
        <w:t>号</w:t>
      </w:r>
      <w:r>
        <w:rPr>
          <w:rFonts w:hint="eastAsia"/>
          <w:lang w:val="zh-CN" w:eastAsia="zh-CN"/>
        </w:rPr>
        <w:t>）《关于提前下达</w:t>
      </w:r>
      <w:r>
        <w:rPr>
          <w:rFonts w:hint="eastAsia"/>
          <w:lang w:val="en-US" w:eastAsia="zh-CN"/>
        </w:rPr>
        <w:t>2022年中央药品监管补助资金的通知</w:t>
      </w:r>
      <w:r>
        <w:rPr>
          <w:rFonts w:hint="eastAsia"/>
          <w:lang w:val="zh-CN" w:eastAsia="zh-CN"/>
        </w:rPr>
        <w:t>》（川财行</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202</w:t>
      </w:r>
      <w:r>
        <w:rPr>
          <w:rFonts w:hint="eastAsia" w:ascii="Times New Roman" w:cs="Times New Roman"/>
          <w:color w:val="000000"/>
          <w:sz w:val="32"/>
          <w:szCs w:val="32"/>
          <w:u w:val="none"/>
          <w:lang w:val="en-US" w:eastAsia="zh-CN"/>
        </w:rPr>
        <w:t>1</w:t>
      </w:r>
      <w:r>
        <w:rPr>
          <w:rFonts w:hint="default" w:ascii="Times New Roman" w:hAnsi="Times New Roman" w:eastAsia="仿宋_GB2312" w:cs="Times New Roman"/>
          <w:color w:val="000000"/>
          <w:sz w:val="32"/>
          <w:szCs w:val="32"/>
          <w:u w:val="none"/>
          <w:lang w:eastAsia="zh-CN"/>
        </w:rPr>
        <w:t>〕</w:t>
      </w:r>
      <w:r>
        <w:rPr>
          <w:rFonts w:hint="eastAsia" w:ascii="Times New Roman" w:cs="Times New Roman"/>
          <w:color w:val="000000"/>
          <w:sz w:val="32"/>
          <w:szCs w:val="32"/>
          <w:u w:val="none"/>
          <w:lang w:val="en-US" w:eastAsia="zh-CN"/>
        </w:rPr>
        <w:t>182</w:t>
      </w:r>
      <w:r>
        <w:rPr>
          <w:rFonts w:hint="eastAsia" w:ascii="Times New Roman" w:hAnsi="Times New Roman" w:cs="Times New Roman"/>
          <w:color w:val="000000"/>
          <w:sz w:val="32"/>
          <w:szCs w:val="32"/>
          <w:u w:val="none"/>
          <w:lang w:val="en-US" w:eastAsia="zh-CN"/>
        </w:rPr>
        <w:t>号</w:t>
      </w:r>
      <w:r>
        <w:rPr>
          <w:rFonts w:hint="eastAsia"/>
          <w:lang w:val="zh-CN" w:eastAsia="zh-CN"/>
        </w:rPr>
        <w:t>）等。</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2"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楷体_GB2312" w:hAnsi="宋体" w:eastAsia="楷体_GB2312"/>
          <w:b/>
          <w:color w:val="auto"/>
          <w:sz w:val="32"/>
          <w:szCs w:val="32"/>
          <w:highlight w:val="none"/>
          <w:u w:val="none"/>
          <w:lang w:val="en-US" w:eastAsia="zh-CN"/>
        </w:rPr>
        <w:t>3.</w:t>
      </w:r>
      <w:r>
        <w:rPr>
          <w:rFonts w:hint="eastAsia" w:ascii="楷体_GB2312" w:hAnsi="宋体" w:eastAsia="楷体_GB2312"/>
          <w:b/>
          <w:color w:val="auto"/>
          <w:sz w:val="32"/>
          <w:szCs w:val="32"/>
          <w:highlight w:val="none"/>
          <w:u w:val="none"/>
          <w:lang w:val="zh-CN" w:eastAsia="zh-CN"/>
        </w:rPr>
        <w:t>资金</w:t>
      </w:r>
      <w:r>
        <w:rPr>
          <w:rFonts w:hint="eastAsia" w:ascii="楷体_GB2312" w:hAnsi="宋体" w:eastAsia="楷体_GB2312"/>
          <w:b/>
          <w:color w:val="auto"/>
          <w:sz w:val="32"/>
          <w:szCs w:val="32"/>
          <w:highlight w:val="none"/>
          <w:u w:val="none"/>
          <w:lang w:val="en-US" w:eastAsia="zh-CN"/>
        </w:rPr>
        <w:t>项目</w:t>
      </w:r>
      <w:r>
        <w:rPr>
          <w:rFonts w:hint="eastAsia" w:ascii="楷体_GB2312" w:hAnsi="宋体" w:eastAsia="楷体_GB2312"/>
          <w:b/>
          <w:color w:val="auto"/>
          <w:sz w:val="32"/>
          <w:szCs w:val="32"/>
          <w:highlight w:val="none"/>
          <w:u w:val="none"/>
          <w:lang w:val="zh-CN" w:eastAsia="zh-CN"/>
        </w:rPr>
        <w:t>管理办法与支持概况</w:t>
      </w:r>
    </w:p>
    <w:p>
      <w:pPr>
        <w:pStyle w:val="2"/>
        <w:numPr>
          <w:ilvl w:val="0"/>
          <w:numId w:val="0"/>
        </w:numPr>
        <w:ind w:firstLine="600" w:firstLineChars="200"/>
        <w:rPr>
          <w:rFonts w:hint="eastAsia"/>
          <w:lang w:val="zh-CN"/>
        </w:rPr>
      </w:pPr>
      <w:r>
        <w:rPr>
          <w:rFonts w:hint="eastAsia"/>
          <w:lang w:val="zh-CN" w:eastAsia="zh-CN"/>
        </w:rPr>
        <w:t>巴中市市场监管局依据财政全过程预算绩效管理相关要求和精神，根据《财政部</w:t>
      </w:r>
      <w:r>
        <w:rPr>
          <w:rFonts w:hint="eastAsia"/>
          <w:lang w:val="en-US" w:eastAsia="zh-CN"/>
        </w:rPr>
        <w:t xml:space="preserve"> 市场监管总局 药监局关于印发</w:t>
      </w:r>
      <w:r>
        <w:rPr>
          <w:rFonts w:hint="eastAsia"/>
          <w:lang w:val="zh-CN" w:eastAsia="zh-CN"/>
        </w:rPr>
        <w:t>〈食品药品监管补助资金管理暂行办法〉的通知》（财行〔2019〕</w:t>
      </w:r>
      <w:r>
        <w:rPr>
          <w:rFonts w:hint="eastAsia"/>
          <w:lang w:val="en-US" w:eastAsia="zh-CN"/>
        </w:rPr>
        <w:t>98</w:t>
      </w:r>
      <w:r>
        <w:rPr>
          <w:rFonts w:hint="eastAsia"/>
          <w:lang w:val="zh-CN" w:eastAsia="zh-CN"/>
        </w:rPr>
        <w:t>号）《四川省财政厅</w:t>
      </w:r>
      <w:r>
        <w:rPr>
          <w:rFonts w:hint="eastAsia"/>
          <w:lang w:val="en-US" w:eastAsia="zh-CN"/>
        </w:rPr>
        <w:t xml:space="preserve"> 四川省药品监督管理局关于印发</w:t>
      </w:r>
      <w:r>
        <w:rPr>
          <w:rFonts w:hint="eastAsia"/>
          <w:lang w:val="zh-CN" w:eastAsia="zh-CN"/>
        </w:rPr>
        <w:t>〈四川省药品监管专项资金管理办法〉的通知》（川财行〔2019〕</w:t>
      </w:r>
      <w:r>
        <w:rPr>
          <w:rFonts w:hint="eastAsia"/>
          <w:lang w:val="en-US" w:eastAsia="zh-CN"/>
        </w:rPr>
        <w:t>78</w:t>
      </w:r>
      <w:r>
        <w:rPr>
          <w:rFonts w:hint="eastAsia"/>
          <w:lang w:val="zh-CN" w:eastAsia="zh-CN"/>
        </w:rPr>
        <w:t>号）《四川省财政厅 四川省市场监督管理局</w:t>
      </w:r>
      <w:r>
        <w:rPr>
          <w:rFonts w:hint="eastAsia"/>
          <w:lang w:val="en-US" w:eastAsia="zh-CN"/>
        </w:rPr>
        <w:t xml:space="preserve"> 四川省药品监督管理局</w:t>
      </w:r>
      <w:r>
        <w:rPr>
          <w:rFonts w:hint="eastAsia"/>
          <w:lang w:val="zh-CN" w:eastAsia="zh-CN"/>
        </w:rPr>
        <w:t>关于印发〈中央食品药品监管补助资金管理实施细则〉的通知》（川财行〔2019〕</w:t>
      </w:r>
      <w:r>
        <w:rPr>
          <w:rFonts w:hint="eastAsia"/>
          <w:lang w:val="en-US" w:eastAsia="zh-CN"/>
        </w:rPr>
        <w:t>9</w:t>
      </w:r>
      <w:r>
        <w:rPr>
          <w:rFonts w:hint="eastAsia"/>
          <w:lang w:val="zh-CN" w:eastAsia="zh-CN"/>
        </w:rPr>
        <w:t>4号），对</w:t>
      </w:r>
      <w:r>
        <w:rPr>
          <w:rFonts w:hint="eastAsia"/>
          <w:lang w:val="en-US" w:eastAsia="zh-CN"/>
        </w:rPr>
        <w:t>2022药品监管专项资金</w:t>
      </w:r>
      <w:r>
        <w:rPr>
          <w:rFonts w:hint="eastAsia"/>
          <w:lang w:val="zh-CN" w:eastAsia="zh-CN"/>
        </w:rPr>
        <w:t>使用作出具体安排。2022年本项目共涉及财政资金</w:t>
      </w:r>
      <w:r>
        <w:rPr>
          <w:rFonts w:hint="eastAsia"/>
          <w:lang w:val="en-US" w:eastAsia="zh-CN"/>
        </w:rPr>
        <w:t>60</w:t>
      </w:r>
      <w:r>
        <w:rPr>
          <w:rFonts w:hint="eastAsia"/>
          <w:lang w:val="zh-CN" w:eastAsia="zh-CN"/>
        </w:rPr>
        <w:t>万元，主要用于开展药品抽检、医疗器械抽检、化妆品抽检。</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2" w:firstLineChars="200"/>
        <w:contextualSpacing/>
        <w:jc w:val="left"/>
        <w:textAlignment w:val="auto"/>
        <w:rPr>
          <w:rFonts w:hint="eastAsia" w:ascii="楷体_GB2312" w:hAnsi="宋体" w:eastAsia="楷体_GB2312"/>
          <w:b/>
          <w:color w:val="auto"/>
          <w:sz w:val="32"/>
          <w:szCs w:val="32"/>
          <w:highlight w:val="none"/>
          <w:u w:val="none"/>
          <w:lang w:val="zh-CN" w:eastAsia="zh-CN"/>
        </w:rPr>
      </w:pPr>
      <w:r>
        <w:rPr>
          <w:rFonts w:hint="eastAsia" w:ascii="楷体_GB2312" w:hAnsi="宋体" w:eastAsia="楷体_GB2312"/>
          <w:b/>
          <w:color w:val="auto"/>
          <w:sz w:val="32"/>
          <w:szCs w:val="32"/>
          <w:highlight w:val="none"/>
          <w:u w:val="none"/>
          <w:lang w:val="zh-CN" w:eastAsia="zh-CN"/>
        </w:rPr>
        <w:t>4</w:t>
      </w:r>
      <w:r>
        <w:rPr>
          <w:rFonts w:hint="eastAsia" w:ascii="楷体_GB2312" w:hAnsi="宋体" w:eastAsia="楷体_GB2312"/>
          <w:b/>
          <w:color w:val="auto"/>
          <w:sz w:val="32"/>
          <w:szCs w:val="32"/>
          <w:highlight w:val="none"/>
          <w:u w:val="none"/>
          <w:lang w:val="en-US" w:eastAsia="zh-CN"/>
        </w:rPr>
        <w:t>.</w:t>
      </w:r>
      <w:r>
        <w:rPr>
          <w:rFonts w:hint="eastAsia" w:ascii="楷体_GB2312" w:hAnsi="宋体" w:eastAsia="楷体_GB2312"/>
          <w:b/>
          <w:color w:val="auto"/>
          <w:sz w:val="32"/>
          <w:szCs w:val="32"/>
          <w:highlight w:val="none"/>
          <w:u w:val="none"/>
          <w:lang w:val="zh-CN" w:eastAsia="zh-CN"/>
        </w:rPr>
        <w:t>资金分配的原则及考虑因素</w:t>
      </w:r>
    </w:p>
    <w:p>
      <w:pPr>
        <w:keepNext w:val="0"/>
        <w:keepLines w:val="0"/>
        <w:pageBreakBefore w:val="0"/>
        <w:kinsoku/>
        <w:wordWrap/>
        <w:overflowPunct/>
        <w:topLinePunct w:val="0"/>
        <w:autoSpaceDE/>
        <w:autoSpaceDN/>
        <w:bidi w:val="0"/>
        <w:adjustRightInd w:val="0"/>
        <w:snapToGrid w:val="0"/>
        <w:spacing w:line="578" w:lineRule="exact"/>
        <w:ind w:firstLine="600" w:firstLineChars="200"/>
        <w:textAlignment w:val="auto"/>
        <w:rPr>
          <w:rFonts w:hint="eastAsia" w:ascii="楷体_GB2312" w:hAnsi="宋体" w:eastAsia="楷体_GB2312"/>
          <w:b/>
          <w:color w:val="auto"/>
          <w:sz w:val="32"/>
          <w:szCs w:val="32"/>
          <w:highlight w:val="none"/>
          <w:u w:val="none"/>
          <w:lang w:val="zh-CN"/>
        </w:rPr>
      </w:pPr>
      <w:r>
        <w:rPr>
          <w:rFonts w:hint="eastAsia" w:ascii="仿宋_GB2312" w:eastAsia="仿宋_GB2312" w:cs="Times New Roman"/>
          <w:kern w:val="0"/>
          <w:sz w:val="30"/>
          <w:szCs w:val="24"/>
          <w:lang w:val="zh-CN" w:eastAsia="zh-CN" w:bidi="ar-SA"/>
        </w:rPr>
        <w:t>巴中市</w:t>
      </w:r>
      <w:r>
        <w:rPr>
          <w:rFonts w:hint="eastAsia" w:ascii="仿宋_GB2312" w:hAnsi="Times New Roman" w:eastAsia="仿宋_GB2312" w:cs="Times New Roman"/>
          <w:kern w:val="0"/>
          <w:sz w:val="30"/>
          <w:szCs w:val="24"/>
          <w:lang w:val="zh-CN" w:eastAsia="zh-CN" w:bidi="ar-SA"/>
        </w:rPr>
        <w:t>市场监管局综合使用项目法、据实据效法和因素法对 本项目资金进行分配。项目法依据项目性质、年度计划、项目审核和预算评审情况，按工作量计算确定项目承担单位实际资金需求；据实据效法根据各部门业务工作需要或项目绩效目标、实施效果或实际贡献对资金进行分配；因素法则按资金需求的基本因素（管辖范围、市场主体户数等）、绩效因素（年度目标管理考核、上年补助资金绩效评价结果等） 和财力因素所占权重计算资金数额，并根据市场监管形势进行合理调整。</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2" w:firstLineChars="200"/>
        <w:contextualSpacing/>
        <w:jc w:val="left"/>
        <w:textAlignment w:val="auto"/>
        <w:rPr>
          <w:rFonts w:hint="eastAsia" w:ascii="楷体_GB2312" w:hAnsi="宋体" w:eastAsia="楷体_GB2312"/>
          <w:b/>
          <w:color w:val="auto"/>
          <w:sz w:val="32"/>
          <w:szCs w:val="32"/>
          <w:highlight w:val="none"/>
          <w:u w:val="none"/>
          <w:lang w:val="zh-CN" w:eastAsia="zh-CN"/>
        </w:rPr>
      </w:pPr>
      <w:r>
        <w:rPr>
          <w:rFonts w:hint="eastAsia" w:ascii="楷体_GB2312" w:hAnsi="宋体" w:eastAsia="楷体_GB2312"/>
          <w:b/>
          <w:color w:val="auto"/>
          <w:sz w:val="32"/>
          <w:szCs w:val="32"/>
          <w:highlight w:val="none"/>
          <w:u w:val="none"/>
          <w:lang w:val="zh-CN" w:eastAsia="zh-CN"/>
        </w:rPr>
        <w:t>1</w:t>
      </w:r>
      <w:r>
        <w:rPr>
          <w:rFonts w:hint="eastAsia" w:ascii="楷体_GB2312" w:hAnsi="宋体" w:eastAsia="楷体_GB2312"/>
          <w:b/>
          <w:color w:val="auto"/>
          <w:sz w:val="32"/>
          <w:szCs w:val="32"/>
          <w:highlight w:val="none"/>
          <w:u w:val="none"/>
          <w:lang w:val="en-US" w:eastAsia="zh-CN"/>
        </w:rPr>
        <w:t>.</w:t>
      </w:r>
      <w:r>
        <w:rPr>
          <w:rFonts w:hint="eastAsia" w:ascii="楷体_GB2312" w:hAnsi="宋体" w:eastAsia="楷体_GB2312"/>
          <w:b/>
          <w:color w:val="auto"/>
          <w:sz w:val="32"/>
          <w:szCs w:val="32"/>
          <w:highlight w:val="none"/>
          <w:u w:val="none"/>
          <w:lang w:val="zh-CN" w:eastAsia="zh-CN"/>
        </w:rPr>
        <w:t>项目主要内容</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着眼全市民生领域重要点进行管理和监管，主要对全市的药品、医疗器械和化妆品进行抽检、药物不良反应监测、药品监管人员培训。常态对“两品一妆”抽检，紧盯药物不良反应，不断提高药品监管人员的监管能力，是贯彻落实国家、省、市的要求，也是进一步保障全市人民群众生命健康的应有之义。</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2" w:firstLineChars="200"/>
        <w:contextualSpacing/>
        <w:jc w:val="left"/>
        <w:textAlignment w:val="auto"/>
        <w:rPr>
          <w:rFonts w:hint="eastAsia" w:ascii="楷体_GB2312" w:hAnsi="宋体" w:eastAsia="楷体_GB2312"/>
          <w:b/>
          <w:color w:val="auto"/>
          <w:sz w:val="32"/>
          <w:szCs w:val="32"/>
          <w:highlight w:val="none"/>
          <w:u w:val="none"/>
          <w:lang w:val="zh-CN" w:eastAsia="zh-CN"/>
        </w:rPr>
      </w:pPr>
      <w:r>
        <w:rPr>
          <w:rFonts w:hint="eastAsia" w:ascii="楷体_GB2312" w:hAnsi="宋体" w:eastAsia="楷体_GB2312"/>
          <w:b/>
          <w:color w:val="auto"/>
          <w:sz w:val="32"/>
          <w:szCs w:val="32"/>
          <w:highlight w:val="none"/>
          <w:u w:val="none"/>
          <w:lang w:val="en-US" w:eastAsia="zh-CN"/>
        </w:rPr>
        <w:t>2.</w:t>
      </w:r>
      <w:r>
        <w:rPr>
          <w:rFonts w:hint="eastAsia" w:ascii="楷体_GB2312" w:hAnsi="宋体" w:eastAsia="楷体_GB2312"/>
          <w:b/>
          <w:color w:val="auto"/>
          <w:sz w:val="32"/>
          <w:szCs w:val="32"/>
          <w:highlight w:val="none"/>
          <w:u w:val="none"/>
          <w:lang w:val="zh-CN" w:eastAsia="zh-CN"/>
        </w:rPr>
        <w:t>项目具体绩效目标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1</w:t>
      </w:r>
      <w:r>
        <w:rPr>
          <w:rFonts w:hint="eastAsia" w:ascii="仿宋_GB2312" w:hAnsi="仿宋_GB2312" w:eastAsia="仿宋_GB2312" w:cs="仿宋_GB2312"/>
          <w:color w:val="auto"/>
          <w:kern w:val="0"/>
          <w:sz w:val="32"/>
          <w:szCs w:val="32"/>
          <w:highlight w:val="none"/>
          <w:u w:val="none"/>
          <w:shd w:val="clear" w:color="auto" w:fill="FFFFFF"/>
          <w:lang w:val="zh-CN"/>
        </w:rPr>
        <w:t>）数量指标：药品抽验</w:t>
      </w:r>
      <w:r>
        <w:rPr>
          <w:rFonts w:hint="eastAsia" w:ascii="仿宋_GB2312" w:hAnsi="仿宋_GB2312" w:eastAsia="仿宋_GB2312" w:cs="仿宋_GB2312"/>
          <w:color w:val="auto"/>
          <w:kern w:val="0"/>
          <w:sz w:val="32"/>
          <w:szCs w:val="32"/>
          <w:highlight w:val="none"/>
          <w:u w:val="none"/>
          <w:shd w:val="clear" w:color="auto" w:fill="FFFFFF"/>
          <w:lang w:val="en-US" w:eastAsia="zh-CN"/>
        </w:rPr>
        <w:t>65</w:t>
      </w:r>
      <w:r>
        <w:rPr>
          <w:rFonts w:hint="eastAsia" w:ascii="仿宋_GB2312" w:hAnsi="仿宋_GB2312" w:eastAsia="仿宋_GB2312" w:cs="仿宋_GB2312"/>
          <w:color w:val="auto"/>
          <w:kern w:val="0"/>
          <w:sz w:val="32"/>
          <w:szCs w:val="32"/>
          <w:highlight w:val="none"/>
          <w:u w:val="none"/>
          <w:shd w:val="clear" w:color="auto" w:fill="FFFFFF"/>
          <w:lang w:val="zh-CN"/>
        </w:rPr>
        <w:t>批次</w:t>
      </w:r>
      <w:r>
        <w:rPr>
          <w:rFonts w:hint="eastAsia" w:ascii="仿宋_GB2312" w:hAnsi="仿宋_GB2312" w:eastAsia="仿宋_GB2312" w:cs="仿宋_GB2312"/>
          <w:color w:val="auto"/>
          <w:kern w:val="0"/>
          <w:sz w:val="32"/>
          <w:szCs w:val="32"/>
          <w:highlight w:val="none"/>
          <w:u w:val="none"/>
          <w:shd w:val="clear" w:color="auto" w:fill="FFFFFF"/>
          <w:lang w:val="en-US" w:eastAsia="zh-CN"/>
        </w:rPr>
        <w:t>;医疗器械抽验1批次;药品监管企业数≧785家；化妆品监管企业数≧1556家；医疗器械监管企业数≧40家；药品监管人员专业化培训学时≧90学时；药物滥用常规监测任务数≧1300例；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2）质量指标：药品、医疗器械抽检完成率100%；不合格产品处置率100%；药品不良反应每百万人口报告数≧1500例；化妆品不良反应每百万人口报告数≧1300例；医疗器械不良反应每百万人口报告数≧590例；培训人员覆盖率100%。</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3</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）时效指标。</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2022年12月31日前</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完成。</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4</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）成本指标。培训成本≦400元/人.天；药品抽检平均标准2500元。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5</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）社会效益指标。“两品一械”总体安全水平不断提高；提高“两品一械”安全科普知识宣传覆盖面，公众自我保护意识不断提高。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6</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）可持续影响指标。药械化监管水平不断提高；队伍素质和装备配置水平不断提高。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default"/>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7</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）满意度指标。公众对药品安全满意度达到了</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7</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5%以上。</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en-US" w:eastAsia="zh-CN"/>
        </w:rPr>
        <w:t>3.</w:t>
      </w:r>
      <w:r>
        <w:rPr>
          <w:rFonts w:hint="eastAsia" w:ascii="楷体_GB2312" w:hAnsi="宋体" w:eastAsia="楷体_GB2312"/>
          <w:b/>
          <w:color w:val="auto"/>
          <w:sz w:val="32"/>
          <w:szCs w:val="32"/>
          <w:highlight w:val="none"/>
          <w:u w:val="none"/>
          <w:lang w:val="zh-CN"/>
        </w:rPr>
        <w:t>申报内容相符和合理性</w:t>
      </w:r>
    </w:p>
    <w:p>
      <w:pPr>
        <w:keepNext w:val="0"/>
        <w:keepLines w:val="0"/>
        <w:widowControl/>
        <w:suppressLineNumbers w:val="0"/>
        <w:ind w:firstLine="640" w:firstLineChars="200"/>
        <w:jc w:val="both"/>
        <w:rPr>
          <w:rFonts w:hint="eastAsia" w:ascii="楷体_GB2312" w:hAnsi="宋体" w:eastAsia="楷体_GB2312"/>
          <w:b/>
          <w:color w:val="auto"/>
          <w:sz w:val="32"/>
          <w:szCs w:val="32"/>
          <w:highlight w:val="none"/>
          <w:u w:val="none"/>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本项目根据全市监管系统年度工作重点、相关业务科室 具体工作任务要求以及市场监管重要文件精神申报，申报内 容符合全市市场监管实际，符合专项资金管理办法规定，符 合市委、市政府重大决策部署和宏观政策规划，申报目标与 全市市场监管系统中长期规划相一致，目标内容明确完整、 合理可行，绩效指标设置高度关联、重点突出、量化易评。</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keepNext w:val="0"/>
        <w:keepLines w:val="0"/>
        <w:widowControl/>
        <w:suppressLineNumbers w:val="0"/>
        <w:ind w:firstLine="640" w:firstLineChars="200"/>
        <w:jc w:val="both"/>
        <w:rPr>
          <w:rFonts w:hint="eastAsia" w:ascii="黑体" w:hAnsi="宋体" w:eastAsia="黑体"/>
          <w:color w:val="auto"/>
          <w:sz w:val="32"/>
          <w:szCs w:val="32"/>
          <w:highlight w:val="none"/>
          <w:u w:val="none"/>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巴中市市场监管局根据省局和财政部门等要求，认真组织各直属单位、进行自评，对项目实施方案、绩效自评表和自评报告等相关资料进行收集、汇总和分析。自评工作采取线上和线下重点评价的结合方式进行。巴中市市场监管局按照相关要求，将评价指标体系分为通用、共用、特性、个性 4个层次，从项目决策、项目实施、完成结果、项目效果等维度出发，对项目决策程序严密性、规划合理性、制度完备性，项目实施分配合理性、使用合规性、预算执行、资金结余、目标完成情况、违规记录，项目效果的区域均衡性、对象公平性、社会满意度等进行全面自评。</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二、项目资金申报及使用情况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widowControl/>
        <w:suppressLineNumbers w:val="0"/>
        <w:ind w:firstLine="640" w:firstLineChars="200"/>
        <w:jc w:val="left"/>
        <w:rPr>
          <w:rFonts w:hint="eastAsia" w:ascii="楷体_GB2312" w:hAnsi="宋体" w:eastAsia="楷体_GB2312"/>
          <w:b/>
          <w:color w:val="auto"/>
          <w:sz w:val="32"/>
          <w:szCs w:val="32"/>
          <w:highlight w:val="none"/>
          <w:u w:val="none"/>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巴中市市场监管局按照专项资金管理办法通过内部初审、综合平衡、业务部门优化等，经局党组会集体审定后申 报省级药品专项资金，经同级财政并报市政府常务会审定后 分两批下达。</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642"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1</w:t>
      </w:r>
      <w:r>
        <w:rPr>
          <w:rFonts w:hint="eastAsia" w:ascii="楷体_GB2312" w:hAnsi="宋体" w:eastAsia="楷体_GB2312"/>
          <w:b/>
          <w:color w:val="auto"/>
          <w:sz w:val="32"/>
          <w:szCs w:val="32"/>
          <w:highlight w:val="none"/>
          <w:u w:val="none"/>
          <w:lang w:val="en-US" w:eastAsia="zh-CN"/>
        </w:rPr>
        <w:t>.</w:t>
      </w:r>
      <w:r>
        <w:rPr>
          <w:rFonts w:hint="eastAsia" w:ascii="楷体_GB2312" w:hAnsi="宋体" w:eastAsia="楷体_GB2312"/>
          <w:b/>
          <w:color w:val="auto"/>
          <w:sz w:val="32"/>
          <w:szCs w:val="32"/>
          <w:highlight w:val="none"/>
          <w:u w:val="none"/>
          <w:lang w:val="zh-CN"/>
        </w:rPr>
        <w:t>资金计划</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楷体_GB2312" w:hAnsi="宋体" w:eastAsia="楷体_GB2312"/>
          <w:b w:val="0"/>
          <w:bCs/>
          <w:color w:val="auto"/>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en-US" w:eastAsia="zh-CN"/>
        </w:rPr>
        <w:t>022年中央药品监管补助资金分两批下达共计198万元，均为财政资金。</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642"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en-US" w:eastAsia="zh-CN"/>
        </w:rPr>
        <w:t>2.</w:t>
      </w:r>
      <w:r>
        <w:rPr>
          <w:rFonts w:hint="eastAsia" w:ascii="楷体_GB2312" w:hAnsi="宋体" w:eastAsia="楷体_GB2312"/>
          <w:b/>
          <w:color w:val="auto"/>
          <w:sz w:val="32"/>
          <w:szCs w:val="32"/>
          <w:highlight w:val="none"/>
          <w:u w:val="none"/>
          <w:lang w:val="zh-CN"/>
        </w:rPr>
        <w:t>资金到位</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2022年专项资金共分两批次下达，总额为198万元，资金到位率100%，各批资金均及时下达，资金到位情况与资金计划一致。</w:t>
      </w:r>
    </w:p>
    <w:p>
      <w:pPr>
        <w:keepNext w:val="0"/>
        <w:keepLines w:val="0"/>
        <w:widowControl/>
        <w:numPr>
          <w:ilvl w:val="0"/>
          <w:numId w:val="0"/>
        </w:numPr>
        <w:suppressLineNumbers w:val="0"/>
        <w:ind w:firstLine="642" w:firstLineChars="200"/>
        <w:jc w:val="both"/>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en-US" w:eastAsia="zh-CN"/>
        </w:rPr>
        <w:t>3.</w:t>
      </w:r>
      <w:r>
        <w:rPr>
          <w:rFonts w:hint="eastAsia" w:ascii="楷体_GB2312" w:hAnsi="宋体" w:eastAsia="楷体_GB2312"/>
          <w:b/>
          <w:color w:val="auto"/>
          <w:sz w:val="32"/>
          <w:szCs w:val="32"/>
          <w:highlight w:val="none"/>
          <w:u w:val="none"/>
          <w:lang w:val="zh-CN"/>
        </w:rPr>
        <w:t>资金使用</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根据自评自查情况，截止评价时点，2022年中央药品监管补助资金共使用198万元，预算执行率100%。 为确保2022 年中央药品监管补助资金使用绩效自评工作扎实全面组织专项资金各责任科室和单位对专项资金分类自评。根据评价情况，项目实施单位均能按照专项资金管理办法使用资金，支付标准、支付进度和支付依据合法合规，财务管理制度执行严格，账务处理及时，资金使用的整体安全性、规范性及有效性较高。</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widowControl/>
        <w:numPr>
          <w:ilvl w:val="0"/>
          <w:numId w:val="0"/>
        </w:numPr>
        <w:suppressLineNumbers w:val="0"/>
        <w:ind w:firstLine="640" w:firstLineChars="200"/>
        <w:jc w:val="both"/>
        <w:rPr>
          <w:rFonts w:hint="eastAsia" w:ascii="黑体" w:hAnsi="宋体" w:eastAsia="黑体"/>
          <w:color w:val="auto"/>
          <w:sz w:val="32"/>
          <w:szCs w:val="32"/>
          <w:highlight w:val="none"/>
          <w:u w:val="none"/>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2022年，巴中市市场监管局根据专项资金管理办法和项 目实施方案等要求，对专项资金的下达、使用和监管进行严格管理，严格规范专项资金使用全过程。根据自评情况，各项目实施单位财务制度健全规范，均能够按照《政府会计制度和内部控制制度》管理使用资金，并对专项资金专账核 算、专款专用，会计核算规范、账务处理及时。</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三、项目实施及管理情况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项目组织架构健全、管理制度比较完善、组织实施单位分工明确、尽职履责，项目实施的流程清晰具体。一是责任分工及绩效监管方面，巴中市市场监管局与直属单位和各县区局明确任务，对药品、化妆品、医疗器械等严格按照绩效目标来，做到事前、事中、事后全链条监管；</w:t>
      </w:r>
      <w:r>
        <w:rPr>
          <w:rFonts w:hint="eastAsia" w:ascii="仿宋_GB2312" w:hAnsi="仿宋_GB2312" w:eastAsia="仿宋_GB2312" w:cs="仿宋_GB2312"/>
          <w:color w:val="auto"/>
          <w:kern w:val="0"/>
          <w:sz w:val="32"/>
          <w:szCs w:val="32"/>
          <w:highlight w:val="none"/>
          <w:u w:val="none"/>
          <w:shd w:val="clear" w:color="auto" w:fill="FFFFFF"/>
          <w:lang w:val="zh-CN" w:eastAsia="zh-CN"/>
        </w:rPr>
        <w:t>二是压实资金使用和项目实施责任方面。巴中市市场监管局压实专项资金执行责任，根据资金类型明确工作任务有力保障了我市市场监管工作的有序开展。</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楷体_GB2312" w:hAnsi="宋体" w:eastAsia="楷体_GB2312"/>
          <w:b/>
          <w:color w:val="auto"/>
          <w:sz w:val="32"/>
          <w:szCs w:val="32"/>
          <w:highlight w:val="none"/>
          <w:u w:val="none"/>
          <w:lang w:val="zh-CN"/>
        </w:rPr>
        <w:t>（二）项目管理情况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楷体_GB2312" w:hAnsi="宋体" w:eastAsia="楷体_GB2312"/>
          <w:b/>
          <w:color w:val="auto"/>
          <w:sz w:val="32"/>
          <w:szCs w:val="32"/>
          <w:highlight w:val="none"/>
          <w:u w:val="none"/>
          <w:lang w:val="zh-CN"/>
        </w:rPr>
      </w:pPr>
      <w:r>
        <w:rPr>
          <w:rFonts w:hint="eastAsia" w:ascii="仿宋_GB2312" w:hAnsi="仿宋_GB2312" w:eastAsia="仿宋_GB2312" w:cs="仿宋_GB2312"/>
          <w:color w:val="auto"/>
          <w:kern w:val="0"/>
          <w:sz w:val="32"/>
          <w:szCs w:val="32"/>
          <w:highlight w:val="none"/>
          <w:u w:val="none"/>
          <w:shd w:val="clear" w:color="auto" w:fill="FFFFFF"/>
          <w:lang w:val="zh-CN" w:eastAsia="zh-CN"/>
        </w:rPr>
        <w:t>项目预算执行严格遵守《政府采购法》《专项资金管理 办法》《产品质量监督抽查管理暂行办法》《中华人民共和国药品管理法》、《化妆品监督管理条例》等相关法律法规和重要文件和项目管理制度要求，未发现违反招投标、政府采购、项目公示制度等相关情况。</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leftChars="200" w:firstLine="321" w:firstLineChars="1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（三）项目监管情况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黑体" w:hAnsi="宋体" w:eastAsia="黑体"/>
          <w:color w:val="auto"/>
          <w:sz w:val="32"/>
          <w:szCs w:val="32"/>
          <w:highlight w:val="none"/>
          <w:u w:val="none"/>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巴中市市场监管局持续强化项目监管，确保全市市场监管工作扎实推进。强化全过程预算绩效管理，着力提升事前评估、事中监控和事后评价水平，不断提高财政资金使用绩效，确保每一笔钱都花在“刀刃上”。严格按照绩效目标执行，对项目实施中的进度按时进行督查，确保了项目按时按质完成，从而进一步保障全市人民身体健康，确保用药用械安全。</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仿宋_GB2312" w:hAnsi="宋体"/>
          <w:color w:val="auto"/>
          <w:sz w:val="32"/>
          <w:szCs w:val="32"/>
          <w:highlight w:val="none"/>
          <w:u w:val="none"/>
          <w:lang w:val="zh-CN"/>
        </w:rPr>
      </w:pPr>
      <w:r>
        <w:rPr>
          <w:rFonts w:hint="eastAsia" w:ascii="黑体" w:hAnsi="宋体" w:eastAsia="黑体"/>
          <w:color w:val="auto"/>
          <w:sz w:val="32"/>
          <w:szCs w:val="32"/>
          <w:highlight w:val="none"/>
          <w:u w:val="none"/>
        </w:rPr>
        <w:t>四、项目绩效情况</w:t>
      </w:r>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药品抽验</w:t>
      </w:r>
      <w:r>
        <w:rPr>
          <w:rFonts w:hint="eastAsia" w:ascii="仿宋_GB2312" w:hAnsi="仿宋_GB2312" w:eastAsia="仿宋_GB2312" w:cs="仿宋_GB2312"/>
          <w:color w:val="auto"/>
          <w:kern w:val="0"/>
          <w:sz w:val="32"/>
          <w:szCs w:val="32"/>
          <w:highlight w:val="none"/>
          <w:u w:val="none"/>
          <w:shd w:val="clear" w:color="auto" w:fill="FFFFFF"/>
          <w:lang w:val="en-US" w:eastAsia="zh-CN"/>
        </w:rPr>
        <w:t>65</w:t>
      </w:r>
      <w:r>
        <w:rPr>
          <w:rFonts w:hint="eastAsia" w:ascii="仿宋_GB2312" w:hAnsi="仿宋_GB2312" w:eastAsia="仿宋_GB2312" w:cs="仿宋_GB2312"/>
          <w:color w:val="auto"/>
          <w:kern w:val="0"/>
          <w:sz w:val="32"/>
          <w:szCs w:val="32"/>
          <w:highlight w:val="none"/>
          <w:u w:val="none"/>
          <w:shd w:val="clear" w:color="auto" w:fill="FFFFFF"/>
          <w:lang w:val="zh-CN"/>
        </w:rPr>
        <w:t>批次</w:t>
      </w:r>
      <w:r>
        <w:rPr>
          <w:rFonts w:hint="eastAsia" w:ascii="仿宋_GB2312" w:hAnsi="仿宋_GB2312" w:eastAsia="仿宋_GB2312" w:cs="仿宋_GB2312"/>
          <w:color w:val="auto"/>
          <w:kern w:val="0"/>
          <w:sz w:val="32"/>
          <w:szCs w:val="32"/>
          <w:highlight w:val="none"/>
          <w:u w:val="none"/>
          <w:shd w:val="clear" w:color="auto" w:fill="FFFFFF"/>
          <w:lang w:val="en-US" w:eastAsia="zh-CN"/>
        </w:rPr>
        <w:t>;医疗器械抽验1批次;药品监管企业数≧785家；化妆品监管企业数≧1556家；医疗器械监管企业数≧40家；药品监管人员专业化培训学时≧90学时；药物滥用常规监测任务数≧1300例；</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药品、医疗器械抽检完成率100%；不合格产品处置率100%；药品不良反应每百万人口报告数≧1500例；化妆品不良反应每百万人口报告数≧1300例；医疗器械不良反应每百万人口报告数≧590例；培训人员覆盖率100%。</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培训成本≦400元/人.天；药品抽检平均标准2500元。“两品一械”总体安全水平不断提高；提高“两品一械”安全科普知识宣传覆盖面，公众自我保护意识不断提高。可持续影响指标。药械化监管水平不断提高；队伍素质和装备配置水平不断提高。公众对药品安全满意度达到了</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7</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5%以上。</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keepNext w:val="0"/>
        <w:keepLines w:val="0"/>
        <w:widowControl/>
        <w:suppressLineNumbers w:val="0"/>
        <w:ind w:firstLine="640" w:firstLineChars="200"/>
        <w:jc w:val="both"/>
        <w:rPr>
          <w:rFonts w:hint="eastAsia" w:ascii="黑体" w:hAnsi="宋体" w:eastAsia="黑体"/>
          <w:color w:val="auto"/>
          <w:sz w:val="32"/>
          <w:szCs w:val="32"/>
          <w:highlight w:val="none"/>
          <w:u w:val="none"/>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扎实推进建设放心舒心消费环境，维护市场公平竞争秩 序，维护了良好的药品、医疗器械、化妆品的行业形象与环境产生了良好的社会效益；加强药物滥用不良反应监测和药品监管人员培训。严守“两品一化”安全，保障人民生命财产健康安全，持续有效提升应急处置能力产生了良好的可持续效益；2022年全市公众对“两品一化”药物滥用不良反应安全的满意度达不断提升。</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五、评价结论及建议</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widowControl/>
        <w:suppressLineNumbers w:val="0"/>
        <w:ind w:firstLine="640" w:firstLineChars="200"/>
        <w:jc w:val="both"/>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 xml:space="preserve">2022年总体来看，中央药品监管补助资金资金各单位自评得分集中分布于 90 分～100 分之间，药品、化妆品、医疗器械、药物滥用监管专项目标完成情况良好，在助力全市高质量发展中贡献了市场监管力量。但也存在一些不足，例如绩效目标设置有进一步提升的空间等。 </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keepNext w:val="0"/>
        <w:keepLines w:val="0"/>
        <w:widowControl/>
        <w:suppressLineNumbers w:val="0"/>
        <w:ind w:firstLine="640" w:firstLineChars="200"/>
        <w:jc w:val="both"/>
        <w:rPr>
          <w:rFonts w:hint="eastAsia" w:ascii="仿宋_GB2312" w:hAnsi="仿宋_GB2312" w:eastAsia="仿宋_GB2312" w:cs="仿宋_GB2312"/>
          <w:color w:val="auto"/>
          <w:kern w:val="0"/>
          <w:sz w:val="32"/>
          <w:szCs w:val="32"/>
          <w:highlight w:val="none"/>
          <w:u w:val="none"/>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一是部分单位预算资金执行进度稍有滞后。根据全面自查和重点抽查情况，财政部门专项资金预算下达较晚，导致预算执行滞后。</w:t>
      </w:r>
    </w:p>
    <w:p>
      <w:pPr>
        <w:keepNext w:val="0"/>
        <w:keepLines w:val="0"/>
        <w:widowControl/>
        <w:suppressLineNumbers w:val="0"/>
        <w:ind w:firstLine="640" w:firstLineChars="200"/>
        <w:jc w:val="both"/>
        <w:rPr>
          <w:rFonts w:hint="eastAsia" w:ascii="楷体_GB2312" w:hAnsi="宋体" w:eastAsia="楷体_GB2312"/>
          <w:b/>
          <w:color w:val="auto"/>
          <w:sz w:val="32"/>
          <w:szCs w:val="32"/>
          <w:highlight w:val="none"/>
          <w:u w:val="none"/>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 xml:space="preserve"> 二是全面绩效管理理念及水平需进一步加强。本次自评发现，个别单位仍有“重安排，轻监督；重使用，轻绩效”的倾向，预算资金全过程绩效管理水平有待进一步提升。</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keepNext w:val="0"/>
        <w:keepLines w:val="0"/>
        <w:widowControl/>
        <w:suppressLineNumbers w:val="0"/>
        <w:ind w:firstLine="640" w:firstLineChars="200"/>
        <w:jc w:val="both"/>
        <w:rPr>
          <w:rFonts w:hint="eastAsia" w:ascii="仿宋_GB2312" w:hAnsi="仿宋_GB2312" w:eastAsia="仿宋_GB2312" w:cs="仿宋_GB2312"/>
          <w:color w:val="auto"/>
          <w:kern w:val="0"/>
          <w:sz w:val="32"/>
          <w:szCs w:val="32"/>
          <w:highlight w:val="none"/>
          <w:u w:val="none"/>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 xml:space="preserve">一是财政部门尽早下达专项资金，资金使用单位在专项资金下达后，及时商同级财政部门，及时下达预算资金与实施方案，保障各项监管工作及时有效开展，推动财政资金高效及时使用。 </w:t>
      </w:r>
    </w:p>
    <w:p>
      <w:pPr>
        <w:widowControl/>
        <w:ind w:firstLine="320" w:firstLineChars="100"/>
        <w:jc w:val="left"/>
        <w:rPr>
          <w:rFonts w:hint="eastAsia" w:ascii="仿宋_GB2312" w:hAnsi="仿宋_GB2312" w:eastAsia="仿宋_GB2312" w:cs="仿宋_GB2312"/>
          <w:color w:val="auto"/>
          <w:kern w:val="0"/>
          <w:sz w:val="32"/>
          <w:szCs w:val="32"/>
          <w:highlight w:val="none"/>
          <w:u w:val="none"/>
          <w:shd w:val="clear" w:color="auto" w:fill="FFFFFF"/>
          <w:lang w:val="en-US" w:eastAsia="zh-CN" w:bidi="ar-SA"/>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 xml:space="preserve"> 二是进一步强化绩效管理体系建设，提升项目绩效管理水平，不断强化绩效管理学习培训，提升各级人员绩效管理意识，积极培养重视绩效的管理氛围。</w:t>
      </w:r>
    </w:p>
    <w:p>
      <w:pPr>
        <w:pStyle w:val="2"/>
        <w:rPr>
          <w:rFonts w:hint="eastAsia" w:hAnsi="宋体" w:cs="宋体"/>
          <w:color w:val="auto"/>
          <w:kern w:val="0"/>
          <w:sz w:val="32"/>
          <w:szCs w:val="32"/>
          <w:highlight w:val="none"/>
          <w:shd w:val="clear" w:color="auto" w:fill="FFFFFF"/>
          <w:lang w:val="zh-CN"/>
        </w:rPr>
      </w:pP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202</w:t>
      </w:r>
      <w:r>
        <w:rPr>
          <w:rFonts w:hint="default" w:ascii="方正小标宋简体" w:hAnsi="方正小标宋简体" w:eastAsia="方正小标宋简体" w:cs="方正小标宋简体"/>
          <w:color w:val="auto"/>
          <w:kern w:val="2"/>
          <w:sz w:val="44"/>
          <w:szCs w:val="44"/>
          <w:highlight w:val="none"/>
          <w:lang w:val="en" w:eastAsia="zh-CN"/>
        </w:rPr>
        <w:t>2</w:t>
      </w:r>
      <w:r>
        <w:rPr>
          <w:rFonts w:hint="eastAsia" w:ascii="方正小标宋简体" w:hAnsi="方正小标宋简体" w:eastAsia="方正小标宋简体" w:cs="方正小标宋简体"/>
          <w:color w:val="auto"/>
          <w:kern w:val="2"/>
          <w:sz w:val="44"/>
          <w:szCs w:val="44"/>
          <w:highlight w:val="none"/>
          <w:lang w:val="en-US" w:eastAsia="zh-CN"/>
        </w:rPr>
        <w:t>年巴中市市场监督管理局</w:t>
      </w:r>
    </w:p>
    <w:p>
      <w:pPr>
        <w:pStyle w:val="35"/>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44"/>
          <w:szCs w:val="44"/>
          <w:highlight w:val="none"/>
          <w:lang w:val="en-US" w:eastAsia="zh-CN"/>
        </w:rPr>
      </w:pPr>
      <w:r>
        <w:rPr>
          <w:rFonts w:hint="eastAsia" w:ascii="方正小标宋简体" w:hAnsi="方正小标宋简体" w:eastAsia="方正小标宋简体" w:cs="方正小标宋简体"/>
          <w:color w:val="auto"/>
          <w:kern w:val="2"/>
          <w:sz w:val="44"/>
          <w:szCs w:val="44"/>
          <w:highlight w:val="none"/>
          <w:lang w:val="en-US" w:eastAsia="zh-CN"/>
        </w:rPr>
        <w:t>省级药品监管专项资金预算项目绩效自评报 告</w:t>
      </w:r>
    </w:p>
    <w:p>
      <w:pPr>
        <w:pStyle w:val="35"/>
        <w:keepNext w:val="0"/>
        <w:keepLines w:val="0"/>
        <w:pageBreakBefore w:val="0"/>
        <w:widowControl w:val="0"/>
        <w:kinsoku/>
        <w:wordWrap/>
        <w:overflowPunct/>
        <w:topLinePunct w:val="0"/>
        <w:autoSpaceDE/>
        <w:autoSpaceDN/>
        <w:bidi w:val="0"/>
        <w:spacing w:line="578" w:lineRule="exact"/>
        <w:ind w:firstLine="64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lang w:val="zh-CN"/>
        </w:rPr>
      </w:pPr>
      <w:bookmarkStart w:id="80" w:name="_Toc9143"/>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80"/>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1．主管部门职能</w:t>
      </w:r>
    </w:p>
    <w:p>
      <w:pPr>
        <w:pStyle w:val="2"/>
        <w:ind w:firstLine="600" w:firstLineChars="200"/>
        <w:rPr>
          <w:rFonts w:hint="eastAsia"/>
          <w:lang w:val="zh-CN"/>
        </w:rPr>
      </w:pPr>
      <w:r>
        <w:rPr>
          <w:rFonts w:hint="eastAsia"/>
          <w:lang w:val="zh-CN" w:eastAsia="zh-CN"/>
        </w:rPr>
        <w:t>巴中市市场监管局立足市场监督管理基本职能，全面贯彻执 行国家和省市市场监督管理的方针、政策和法律法规规章，组织开展质量技术监督、食品药品监管、价格监督管理、标准化和知识产权管理等工作，依法进行市场监督管理和行政执法，切实规范和维护市场秩序，营造诚实守信、公平竞争的市场环境。巴中市市场监管局具体职能包括负责全市市场综合监管；全市市场主体统一登记注册；组织和指导全市市场监管综合执法、反垄断统一执法；监管全市市场秩序；负责全市宏观质量、产品质量安全、特种设备安全监管；负责食品安全监督管理综合协调及食品安全监管；统一管理全市计量、标准化、检验检测、认证认可工作；负责市场监管科技和信息化建设、新闻宣传；负责全市知识产权战略、规划的制定，负责知识产权的保护，负责组织指导商标、专利执法；负责促进全市民营经济发展；负责职责范围内的安全生产和职业健康、生态环境保护、审批服务便民化；完成市委、市政府交办的其他任务。</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642"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en-US" w:eastAsia="zh-CN"/>
        </w:rPr>
        <w:t>2.</w:t>
      </w:r>
      <w:r>
        <w:rPr>
          <w:rFonts w:hint="eastAsia" w:ascii="楷体_GB2312" w:hAnsi="宋体" w:eastAsia="楷体_GB2312"/>
          <w:b/>
          <w:color w:val="auto"/>
          <w:sz w:val="32"/>
          <w:szCs w:val="32"/>
          <w:highlight w:val="none"/>
          <w:u w:val="none"/>
          <w:lang w:val="zh-CN"/>
        </w:rPr>
        <w:t>项目立项与资金申报依据</w:t>
      </w:r>
    </w:p>
    <w:p>
      <w:pPr>
        <w:pStyle w:val="2"/>
        <w:numPr>
          <w:ilvl w:val="0"/>
          <w:numId w:val="0"/>
        </w:numPr>
        <w:ind w:firstLine="600" w:firstLineChars="200"/>
        <w:rPr>
          <w:rFonts w:hint="eastAsia"/>
          <w:lang w:val="zh-CN"/>
        </w:rPr>
      </w:pPr>
      <w:r>
        <w:rPr>
          <w:rFonts w:hint="eastAsia"/>
          <w:lang w:val="zh-CN" w:eastAsia="zh-CN"/>
        </w:rPr>
        <w:t>巴中市市场监管局立足全市市场监管需要，根据相关法律法 规和文件精神，立项并申报2022年省级药品监管专资金，主要用于药品抽检、医疗器械抽检、化妆品抽检等工作。上述资金立项及申报具体依据主要包括《产品质量监督抽查管理暂行办法》、《中华人民共和国药品管理法》、《化妆品监督管理条例》《关于下达</w:t>
      </w:r>
      <w:r>
        <w:rPr>
          <w:rFonts w:hint="eastAsia"/>
          <w:lang w:val="en-US" w:eastAsia="zh-CN"/>
        </w:rPr>
        <w:t>2022年药品监管专项资金的通知</w:t>
      </w:r>
      <w:r>
        <w:rPr>
          <w:rFonts w:hint="eastAsia"/>
          <w:lang w:val="zh-CN" w:eastAsia="zh-CN"/>
        </w:rPr>
        <w:t>》（川财行</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202</w:t>
      </w:r>
      <w:r>
        <w:rPr>
          <w:rFonts w:hint="eastAsia" w:ascii="Times New Roman" w:hAnsi="Times New Roman" w:cs="Times New Roman"/>
          <w:color w:val="000000"/>
          <w:sz w:val="32"/>
          <w:szCs w:val="32"/>
          <w:u w:val="none"/>
          <w:lang w:val="en-US" w:eastAsia="zh-CN"/>
        </w:rPr>
        <w:t>2</w:t>
      </w:r>
      <w:r>
        <w:rPr>
          <w:rFonts w:hint="default" w:ascii="Times New Roman" w:hAnsi="Times New Roman" w:eastAsia="仿宋_GB2312" w:cs="Times New Roman"/>
          <w:color w:val="000000"/>
          <w:sz w:val="32"/>
          <w:szCs w:val="32"/>
          <w:u w:val="none"/>
          <w:lang w:eastAsia="zh-CN"/>
        </w:rPr>
        <w:t>〕</w:t>
      </w:r>
      <w:r>
        <w:rPr>
          <w:rFonts w:hint="eastAsia" w:ascii="Times New Roman" w:hAnsi="Times New Roman" w:cs="Times New Roman"/>
          <w:color w:val="000000"/>
          <w:sz w:val="32"/>
          <w:szCs w:val="32"/>
          <w:u w:val="none"/>
          <w:lang w:val="en-US" w:eastAsia="zh-CN"/>
        </w:rPr>
        <w:t>44号</w:t>
      </w:r>
      <w:r>
        <w:rPr>
          <w:rFonts w:hint="eastAsia"/>
          <w:lang w:val="zh-CN" w:eastAsia="zh-CN"/>
        </w:rPr>
        <w:t>）《关于提前下达</w:t>
      </w:r>
      <w:r>
        <w:rPr>
          <w:rFonts w:hint="eastAsia"/>
          <w:lang w:val="en-US" w:eastAsia="zh-CN"/>
        </w:rPr>
        <w:t>2022年省级药品监管专项资金的通知</w:t>
      </w:r>
      <w:r>
        <w:rPr>
          <w:rFonts w:hint="eastAsia"/>
          <w:lang w:val="zh-CN" w:eastAsia="zh-CN"/>
        </w:rPr>
        <w:t>》（川财行</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val="en-US" w:eastAsia="zh-CN"/>
        </w:rPr>
        <w:t>202</w:t>
      </w:r>
      <w:r>
        <w:rPr>
          <w:rFonts w:hint="eastAsia" w:ascii="Times New Roman" w:cs="Times New Roman"/>
          <w:color w:val="000000"/>
          <w:sz w:val="32"/>
          <w:szCs w:val="32"/>
          <w:u w:val="none"/>
          <w:lang w:val="en-US" w:eastAsia="zh-CN"/>
        </w:rPr>
        <w:t>1</w:t>
      </w:r>
      <w:r>
        <w:rPr>
          <w:rFonts w:hint="default" w:ascii="Times New Roman" w:hAnsi="Times New Roman" w:eastAsia="仿宋_GB2312" w:cs="Times New Roman"/>
          <w:color w:val="000000"/>
          <w:sz w:val="32"/>
          <w:szCs w:val="32"/>
          <w:u w:val="none"/>
          <w:lang w:eastAsia="zh-CN"/>
        </w:rPr>
        <w:t>〕</w:t>
      </w:r>
      <w:r>
        <w:rPr>
          <w:rFonts w:hint="eastAsia" w:ascii="Times New Roman" w:cs="Times New Roman"/>
          <w:color w:val="000000"/>
          <w:sz w:val="32"/>
          <w:szCs w:val="32"/>
          <w:u w:val="none"/>
          <w:lang w:val="en-US" w:eastAsia="zh-CN"/>
        </w:rPr>
        <w:t>184</w:t>
      </w:r>
      <w:r>
        <w:rPr>
          <w:rFonts w:hint="eastAsia" w:ascii="Times New Roman" w:hAnsi="Times New Roman" w:cs="Times New Roman"/>
          <w:color w:val="000000"/>
          <w:sz w:val="32"/>
          <w:szCs w:val="32"/>
          <w:u w:val="none"/>
          <w:lang w:val="en-US" w:eastAsia="zh-CN"/>
        </w:rPr>
        <w:t>号</w:t>
      </w:r>
      <w:r>
        <w:rPr>
          <w:rFonts w:hint="eastAsia"/>
          <w:lang w:val="zh-CN" w:eastAsia="zh-CN"/>
        </w:rPr>
        <w:t>）等。</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2"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楷体_GB2312" w:hAnsi="宋体" w:eastAsia="楷体_GB2312"/>
          <w:b/>
          <w:color w:val="auto"/>
          <w:sz w:val="32"/>
          <w:szCs w:val="32"/>
          <w:highlight w:val="none"/>
          <w:u w:val="none"/>
          <w:lang w:val="en-US" w:eastAsia="zh-CN"/>
        </w:rPr>
        <w:t>3.</w:t>
      </w:r>
      <w:r>
        <w:rPr>
          <w:rFonts w:hint="eastAsia" w:ascii="楷体_GB2312" w:hAnsi="宋体" w:eastAsia="楷体_GB2312"/>
          <w:b/>
          <w:color w:val="auto"/>
          <w:sz w:val="32"/>
          <w:szCs w:val="32"/>
          <w:highlight w:val="none"/>
          <w:u w:val="none"/>
          <w:lang w:val="zh-CN" w:eastAsia="zh-CN"/>
        </w:rPr>
        <w:t>资金</w:t>
      </w:r>
      <w:r>
        <w:rPr>
          <w:rFonts w:hint="eastAsia" w:ascii="楷体_GB2312" w:hAnsi="宋体" w:eastAsia="楷体_GB2312"/>
          <w:b/>
          <w:color w:val="auto"/>
          <w:sz w:val="32"/>
          <w:szCs w:val="32"/>
          <w:highlight w:val="none"/>
          <w:u w:val="none"/>
          <w:lang w:val="en-US" w:eastAsia="zh-CN"/>
        </w:rPr>
        <w:t>项目</w:t>
      </w:r>
      <w:r>
        <w:rPr>
          <w:rFonts w:hint="eastAsia" w:ascii="楷体_GB2312" w:hAnsi="宋体" w:eastAsia="楷体_GB2312"/>
          <w:b/>
          <w:color w:val="auto"/>
          <w:sz w:val="32"/>
          <w:szCs w:val="32"/>
          <w:highlight w:val="none"/>
          <w:u w:val="none"/>
          <w:lang w:val="zh-CN" w:eastAsia="zh-CN"/>
        </w:rPr>
        <w:t>管理办法与支持概况</w:t>
      </w:r>
    </w:p>
    <w:p>
      <w:pPr>
        <w:pStyle w:val="2"/>
        <w:numPr>
          <w:ilvl w:val="0"/>
          <w:numId w:val="0"/>
        </w:numPr>
        <w:ind w:firstLine="600" w:firstLineChars="200"/>
        <w:rPr>
          <w:rFonts w:hint="eastAsia"/>
          <w:lang w:val="zh-CN"/>
        </w:rPr>
      </w:pPr>
      <w:r>
        <w:rPr>
          <w:rFonts w:hint="eastAsia"/>
          <w:lang w:val="zh-CN" w:eastAsia="zh-CN"/>
        </w:rPr>
        <w:t>巴中市市场监管局依据财政全过程预算绩效管理相关要求和精神，根据《财政部</w:t>
      </w:r>
      <w:r>
        <w:rPr>
          <w:rFonts w:hint="eastAsia"/>
          <w:lang w:val="en-US" w:eastAsia="zh-CN"/>
        </w:rPr>
        <w:t xml:space="preserve"> 市场监管总局 药监局关于印发</w:t>
      </w:r>
      <w:r>
        <w:rPr>
          <w:rFonts w:hint="eastAsia"/>
          <w:lang w:val="zh-CN" w:eastAsia="zh-CN"/>
        </w:rPr>
        <w:t>〈食品药品监管补助资金管理暂行办法〉的通知》（财行〔2019〕</w:t>
      </w:r>
      <w:r>
        <w:rPr>
          <w:rFonts w:hint="eastAsia"/>
          <w:lang w:val="en-US" w:eastAsia="zh-CN"/>
        </w:rPr>
        <w:t>98</w:t>
      </w:r>
      <w:r>
        <w:rPr>
          <w:rFonts w:hint="eastAsia"/>
          <w:lang w:val="zh-CN" w:eastAsia="zh-CN"/>
        </w:rPr>
        <w:t>号）《四川省财政厅</w:t>
      </w:r>
      <w:r>
        <w:rPr>
          <w:rFonts w:hint="eastAsia"/>
          <w:lang w:val="en-US" w:eastAsia="zh-CN"/>
        </w:rPr>
        <w:t xml:space="preserve"> 四川省药品监督管理局关于印发</w:t>
      </w:r>
      <w:r>
        <w:rPr>
          <w:rFonts w:hint="eastAsia"/>
          <w:lang w:val="zh-CN" w:eastAsia="zh-CN"/>
        </w:rPr>
        <w:t>〈四川省药品监管专项资金管理办法〉的通知》（川财行〔2019〕</w:t>
      </w:r>
      <w:r>
        <w:rPr>
          <w:rFonts w:hint="eastAsia"/>
          <w:lang w:val="en-US" w:eastAsia="zh-CN"/>
        </w:rPr>
        <w:t>78</w:t>
      </w:r>
      <w:r>
        <w:rPr>
          <w:rFonts w:hint="eastAsia"/>
          <w:lang w:val="zh-CN" w:eastAsia="zh-CN"/>
        </w:rPr>
        <w:t>号）《四川省财政厅 四川省市场监督管理局</w:t>
      </w:r>
      <w:r>
        <w:rPr>
          <w:rFonts w:hint="eastAsia"/>
          <w:lang w:val="en-US" w:eastAsia="zh-CN"/>
        </w:rPr>
        <w:t xml:space="preserve"> 四川省药品监督管理局</w:t>
      </w:r>
      <w:r>
        <w:rPr>
          <w:rFonts w:hint="eastAsia"/>
          <w:lang w:val="zh-CN" w:eastAsia="zh-CN"/>
        </w:rPr>
        <w:t>关于印发〈中央食品药品监管补助资金管理实施细则〉的通知》（川财行〔2019〕</w:t>
      </w:r>
      <w:r>
        <w:rPr>
          <w:rFonts w:hint="eastAsia"/>
          <w:lang w:val="en-US" w:eastAsia="zh-CN"/>
        </w:rPr>
        <w:t>9</w:t>
      </w:r>
      <w:r>
        <w:rPr>
          <w:rFonts w:hint="eastAsia"/>
          <w:lang w:val="zh-CN" w:eastAsia="zh-CN"/>
        </w:rPr>
        <w:t>4号），对</w:t>
      </w:r>
      <w:r>
        <w:rPr>
          <w:rFonts w:hint="eastAsia"/>
          <w:lang w:val="en-US" w:eastAsia="zh-CN"/>
        </w:rPr>
        <w:t>2022药品监管专项资金</w:t>
      </w:r>
      <w:r>
        <w:rPr>
          <w:rFonts w:hint="eastAsia"/>
          <w:lang w:val="zh-CN" w:eastAsia="zh-CN"/>
        </w:rPr>
        <w:t>专项资金使用作出具体安排。2022年本项目共涉及财政资金</w:t>
      </w:r>
      <w:r>
        <w:rPr>
          <w:rFonts w:hint="eastAsia"/>
          <w:lang w:val="en-US" w:eastAsia="zh-CN"/>
        </w:rPr>
        <w:t>60</w:t>
      </w:r>
      <w:r>
        <w:rPr>
          <w:rFonts w:hint="eastAsia"/>
          <w:lang w:val="zh-CN" w:eastAsia="zh-CN"/>
        </w:rPr>
        <w:t>万元，主要用于开展药品抽检、医疗器械抽检、化妆品抽检。</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2" w:firstLineChars="200"/>
        <w:contextualSpacing/>
        <w:jc w:val="left"/>
        <w:textAlignment w:val="auto"/>
        <w:rPr>
          <w:rFonts w:hint="eastAsia" w:ascii="楷体_GB2312" w:hAnsi="宋体" w:eastAsia="楷体_GB2312"/>
          <w:b/>
          <w:color w:val="auto"/>
          <w:sz w:val="32"/>
          <w:szCs w:val="32"/>
          <w:highlight w:val="none"/>
          <w:u w:val="none"/>
          <w:lang w:val="zh-CN" w:eastAsia="zh-CN"/>
        </w:rPr>
      </w:pPr>
      <w:r>
        <w:rPr>
          <w:rFonts w:hint="eastAsia" w:ascii="楷体_GB2312" w:hAnsi="宋体" w:eastAsia="楷体_GB2312"/>
          <w:b/>
          <w:color w:val="auto"/>
          <w:sz w:val="32"/>
          <w:szCs w:val="32"/>
          <w:highlight w:val="none"/>
          <w:u w:val="none"/>
          <w:lang w:val="zh-CN" w:eastAsia="zh-CN"/>
        </w:rPr>
        <w:t>4</w:t>
      </w:r>
      <w:r>
        <w:rPr>
          <w:rFonts w:hint="eastAsia" w:ascii="楷体_GB2312" w:hAnsi="宋体" w:eastAsia="楷体_GB2312"/>
          <w:b/>
          <w:color w:val="auto"/>
          <w:sz w:val="32"/>
          <w:szCs w:val="32"/>
          <w:highlight w:val="none"/>
          <w:u w:val="none"/>
          <w:lang w:val="en-US" w:eastAsia="zh-CN"/>
        </w:rPr>
        <w:t>.</w:t>
      </w:r>
      <w:r>
        <w:rPr>
          <w:rFonts w:hint="eastAsia" w:ascii="楷体_GB2312" w:hAnsi="宋体" w:eastAsia="楷体_GB2312"/>
          <w:b/>
          <w:color w:val="auto"/>
          <w:sz w:val="32"/>
          <w:szCs w:val="32"/>
          <w:highlight w:val="none"/>
          <w:u w:val="none"/>
          <w:lang w:val="zh-CN" w:eastAsia="zh-CN"/>
        </w:rPr>
        <w:t>资金分配的原则及考虑因素</w:t>
      </w:r>
    </w:p>
    <w:p>
      <w:pPr>
        <w:keepNext w:val="0"/>
        <w:keepLines w:val="0"/>
        <w:pageBreakBefore w:val="0"/>
        <w:kinsoku/>
        <w:wordWrap/>
        <w:overflowPunct/>
        <w:topLinePunct w:val="0"/>
        <w:autoSpaceDE/>
        <w:autoSpaceDN/>
        <w:bidi w:val="0"/>
        <w:adjustRightInd w:val="0"/>
        <w:snapToGrid w:val="0"/>
        <w:spacing w:line="578" w:lineRule="exact"/>
        <w:ind w:firstLine="600" w:firstLineChars="200"/>
        <w:textAlignment w:val="auto"/>
        <w:rPr>
          <w:rFonts w:hint="eastAsia" w:ascii="楷体_GB2312" w:hAnsi="宋体" w:eastAsia="楷体_GB2312"/>
          <w:b/>
          <w:color w:val="auto"/>
          <w:sz w:val="32"/>
          <w:szCs w:val="32"/>
          <w:highlight w:val="none"/>
          <w:u w:val="none"/>
          <w:lang w:val="zh-CN"/>
        </w:rPr>
      </w:pPr>
      <w:r>
        <w:rPr>
          <w:rFonts w:hint="eastAsia" w:ascii="仿宋_GB2312" w:eastAsia="仿宋_GB2312" w:cs="Times New Roman"/>
          <w:kern w:val="0"/>
          <w:sz w:val="30"/>
          <w:szCs w:val="24"/>
          <w:lang w:val="zh-CN" w:eastAsia="zh-CN" w:bidi="ar-SA"/>
        </w:rPr>
        <w:t>巴中市</w:t>
      </w:r>
      <w:r>
        <w:rPr>
          <w:rFonts w:hint="eastAsia" w:ascii="仿宋_GB2312" w:hAnsi="Times New Roman" w:eastAsia="仿宋_GB2312" w:cs="Times New Roman"/>
          <w:kern w:val="0"/>
          <w:sz w:val="30"/>
          <w:szCs w:val="24"/>
          <w:lang w:val="zh-CN" w:eastAsia="zh-CN" w:bidi="ar-SA"/>
        </w:rPr>
        <w:t>市场监管局综合使用项目法、据实据效法和因素法对 本项目资金进行分配。项目法依据项目性质、年度计划、项目审核和预算评审情况，按工作量计算确定项目承担单位实际资金需求；据实据效法根据各部门业务工作需要或项目绩效目标、实施效果或实际贡献对资金进行分配；因素法则按资金需求的基本因素（管辖范围、市场主体户数等）、绩效因素（年度目标管理考核、上年补助资金绩效评价结果等）和财力因素所占权重计算资金数额，并根据市场监管形势进行合理调整。</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2" w:firstLineChars="200"/>
        <w:contextualSpacing/>
        <w:jc w:val="left"/>
        <w:textAlignment w:val="auto"/>
        <w:rPr>
          <w:rFonts w:hint="eastAsia" w:ascii="楷体_GB2312" w:hAnsi="宋体" w:eastAsia="楷体_GB2312"/>
          <w:b/>
          <w:color w:val="auto"/>
          <w:sz w:val="32"/>
          <w:szCs w:val="32"/>
          <w:highlight w:val="none"/>
          <w:u w:val="none"/>
          <w:lang w:val="zh-CN" w:eastAsia="zh-CN"/>
        </w:rPr>
      </w:pPr>
      <w:r>
        <w:rPr>
          <w:rFonts w:hint="eastAsia" w:ascii="楷体_GB2312" w:hAnsi="宋体" w:eastAsia="楷体_GB2312"/>
          <w:b/>
          <w:color w:val="auto"/>
          <w:sz w:val="32"/>
          <w:szCs w:val="32"/>
          <w:highlight w:val="none"/>
          <w:u w:val="none"/>
          <w:lang w:val="zh-CN" w:eastAsia="zh-CN"/>
        </w:rPr>
        <w:t>1</w:t>
      </w:r>
      <w:r>
        <w:rPr>
          <w:rFonts w:hint="eastAsia" w:ascii="楷体_GB2312" w:hAnsi="宋体" w:eastAsia="楷体_GB2312"/>
          <w:b/>
          <w:color w:val="auto"/>
          <w:sz w:val="32"/>
          <w:szCs w:val="32"/>
          <w:highlight w:val="none"/>
          <w:u w:val="none"/>
          <w:lang w:val="en-US" w:eastAsia="zh-CN"/>
        </w:rPr>
        <w:t>.</w:t>
      </w:r>
      <w:r>
        <w:rPr>
          <w:rFonts w:hint="eastAsia" w:ascii="楷体_GB2312" w:hAnsi="宋体" w:eastAsia="楷体_GB2312"/>
          <w:b/>
          <w:color w:val="auto"/>
          <w:sz w:val="32"/>
          <w:szCs w:val="32"/>
          <w:highlight w:val="none"/>
          <w:u w:val="none"/>
          <w:lang w:val="zh-CN" w:eastAsia="zh-CN"/>
        </w:rPr>
        <w:t>项目主要内容</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着眼全市民生领域重要点进行管理和监管，主要对全市的药品、医疗器械和化妆品进行抽检。对“两品一妆”的抽检也是贯彻落实国家、省、市的要求，进一步保障人民群众身体健康安全。</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2" w:firstLineChars="200"/>
        <w:contextualSpacing/>
        <w:jc w:val="left"/>
        <w:textAlignment w:val="auto"/>
        <w:rPr>
          <w:rFonts w:hint="eastAsia" w:ascii="楷体_GB2312" w:hAnsi="宋体" w:eastAsia="楷体_GB2312"/>
          <w:b/>
          <w:color w:val="auto"/>
          <w:sz w:val="32"/>
          <w:szCs w:val="32"/>
          <w:highlight w:val="none"/>
          <w:u w:val="none"/>
          <w:lang w:val="zh-CN" w:eastAsia="zh-CN"/>
        </w:rPr>
      </w:pPr>
      <w:r>
        <w:rPr>
          <w:rFonts w:hint="eastAsia" w:ascii="楷体_GB2312" w:hAnsi="宋体" w:eastAsia="楷体_GB2312"/>
          <w:b/>
          <w:color w:val="auto"/>
          <w:sz w:val="32"/>
          <w:szCs w:val="32"/>
          <w:highlight w:val="none"/>
          <w:u w:val="none"/>
          <w:lang w:val="en-US" w:eastAsia="zh-CN"/>
        </w:rPr>
        <w:t>2.</w:t>
      </w:r>
      <w:r>
        <w:rPr>
          <w:rFonts w:hint="eastAsia" w:ascii="楷体_GB2312" w:hAnsi="宋体" w:eastAsia="楷体_GB2312"/>
          <w:b/>
          <w:color w:val="auto"/>
          <w:sz w:val="32"/>
          <w:szCs w:val="32"/>
          <w:highlight w:val="none"/>
          <w:u w:val="none"/>
          <w:lang w:val="zh-CN" w:eastAsia="zh-CN"/>
        </w:rPr>
        <w:t>项目具体绩效目标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1</w:t>
      </w:r>
      <w:r>
        <w:rPr>
          <w:rFonts w:hint="eastAsia" w:ascii="仿宋_GB2312" w:hAnsi="仿宋_GB2312" w:eastAsia="仿宋_GB2312" w:cs="仿宋_GB2312"/>
          <w:color w:val="auto"/>
          <w:kern w:val="0"/>
          <w:sz w:val="32"/>
          <w:szCs w:val="32"/>
          <w:highlight w:val="none"/>
          <w:u w:val="none"/>
          <w:shd w:val="clear" w:color="auto" w:fill="FFFFFF"/>
          <w:lang w:val="zh-CN"/>
        </w:rPr>
        <w:t>）数量指标：药品抽验</w:t>
      </w:r>
      <w:r>
        <w:rPr>
          <w:rFonts w:hint="eastAsia" w:ascii="仿宋_GB2312" w:hAnsi="仿宋_GB2312" w:eastAsia="仿宋_GB2312" w:cs="仿宋_GB2312"/>
          <w:color w:val="auto"/>
          <w:kern w:val="0"/>
          <w:sz w:val="32"/>
          <w:szCs w:val="32"/>
          <w:highlight w:val="none"/>
          <w:u w:val="none"/>
          <w:shd w:val="clear" w:color="auto" w:fill="FFFFFF"/>
          <w:lang w:val="en-US" w:eastAsia="zh-CN"/>
        </w:rPr>
        <w:t>167</w:t>
      </w:r>
      <w:r>
        <w:rPr>
          <w:rFonts w:hint="eastAsia" w:ascii="仿宋_GB2312" w:hAnsi="仿宋_GB2312" w:eastAsia="仿宋_GB2312" w:cs="仿宋_GB2312"/>
          <w:color w:val="auto"/>
          <w:kern w:val="0"/>
          <w:sz w:val="32"/>
          <w:szCs w:val="32"/>
          <w:highlight w:val="none"/>
          <w:u w:val="none"/>
          <w:shd w:val="clear" w:color="auto" w:fill="FFFFFF"/>
          <w:lang w:val="zh-CN"/>
        </w:rPr>
        <w:t>批次</w:t>
      </w:r>
      <w:r>
        <w:rPr>
          <w:rFonts w:hint="eastAsia" w:ascii="仿宋_GB2312" w:hAnsi="仿宋_GB2312" w:eastAsia="仿宋_GB2312" w:cs="仿宋_GB2312"/>
          <w:color w:val="auto"/>
          <w:kern w:val="0"/>
          <w:sz w:val="32"/>
          <w:szCs w:val="32"/>
          <w:highlight w:val="none"/>
          <w:u w:val="none"/>
          <w:shd w:val="clear" w:color="auto" w:fill="FFFFFF"/>
          <w:lang w:val="en-US" w:eastAsia="zh-CN"/>
        </w:rPr>
        <w:t>;化妆品抽验28批次;医疗器械抽验26批次。</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（2）质量指标：</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药品、化妆品、医疗器械抽检完成率达到了</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100</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3</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）时效指标。</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2022年12月31日前</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完成。</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4</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）成本指标。药品抽检平均标准为</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2500元</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5</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）社会效益指标。“两品一械”总体安全水平不断提高。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6</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）可持续影响指标。药械化监管水平不断提高。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480" w:lineRule="exact"/>
        <w:ind w:left="0" w:right="0" w:firstLine="627"/>
        <w:jc w:val="both"/>
        <w:textAlignment w:val="auto"/>
        <w:rPr>
          <w:rFonts w:hint="default"/>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7</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）满意度指标。公众对药品安全满意度达到了</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7</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5%以上。</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en-US" w:eastAsia="zh-CN"/>
        </w:rPr>
        <w:t>3.</w:t>
      </w:r>
      <w:r>
        <w:rPr>
          <w:rFonts w:hint="eastAsia" w:ascii="楷体_GB2312" w:hAnsi="宋体" w:eastAsia="楷体_GB2312"/>
          <w:b/>
          <w:color w:val="auto"/>
          <w:sz w:val="32"/>
          <w:szCs w:val="32"/>
          <w:highlight w:val="none"/>
          <w:u w:val="none"/>
          <w:lang w:val="zh-CN"/>
        </w:rPr>
        <w:t>申报内容相符和合理性</w:t>
      </w:r>
    </w:p>
    <w:p>
      <w:pPr>
        <w:keepNext w:val="0"/>
        <w:keepLines w:val="0"/>
        <w:widowControl/>
        <w:suppressLineNumbers w:val="0"/>
        <w:ind w:firstLine="640" w:firstLineChars="200"/>
        <w:jc w:val="both"/>
        <w:rPr>
          <w:rFonts w:hint="eastAsia" w:ascii="楷体_GB2312" w:hAnsi="宋体" w:eastAsia="楷体_GB2312"/>
          <w:b/>
          <w:color w:val="auto"/>
          <w:sz w:val="32"/>
          <w:szCs w:val="32"/>
          <w:highlight w:val="none"/>
          <w:u w:val="none"/>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本项目根据全市监管系统年度工作重点、相关业务科室 具体工作任务要求以及市场监管重要文件精神申报，申报内 容符合全市市场监管实际，符合专项资金管理办法规定，符 合市委、市政府重大决策部署和宏观政策规划，申报目标与 全市市场监管系统中长期规划相一致，目标内容明确完整、 合理可行，绩效指标设置高度关联、重点突出、量化易评。</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keepNext w:val="0"/>
        <w:keepLines w:val="0"/>
        <w:widowControl/>
        <w:suppressLineNumbers w:val="0"/>
        <w:ind w:firstLine="640" w:firstLineChars="200"/>
        <w:jc w:val="both"/>
        <w:rPr>
          <w:rFonts w:hint="eastAsia" w:ascii="黑体" w:hAnsi="宋体" w:eastAsia="黑体"/>
          <w:color w:val="auto"/>
          <w:sz w:val="32"/>
          <w:szCs w:val="32"/>
          <w:highlight w:val="none"/>
          <w:u w:val="none"/>
        </w:rPr>
      </w:pPr>
      <w:bookmarkStart w:id="81" w:name="_Toc23972"/>
      <w:r>
        <w:rPr>
          <w:rFonts w:hint="eastAsia" w:ascii="仿宋_GB2312" w:hAnsi="仿宋_GB2312" w:eastAsia="仿宋_GB2312" w:cs="仿宋_GB2312"/>
          <w:color w:val="auto"/>
          <w:kern w:val="0"/>
          <w:sz w:val="32"/>
          <w:szCs w:val="32"/>
          <w:highlight w:val="none"/>
          <w:u w:val="none"/>
          <w:shd w:val="clear" w:color="auto" w:fill="FFFFFF"/>
          <w:lang w:val="en-US" w:eastAsia="zh-CN" w:bidi="ar-SA"/>
        </w:rPr>
        <w:t>巴中市市场监管局根据省局和财政部门等要求，认真组织各直属单位、进行自评，对项目实施方案、绩效自评表和自评报告等相关资料进行收集、汇总和分析。自评工作采取线上和线下重点评价的结合方式进行。巴中市市场监管局按照相关要求，将评价指标体系分为通用、共用、特性、个性 4个层次，从项目决策、项目实施、完成结果、项目效果等维度出发，对项目决策程序严密性、规划合理性、制度完备性，项目实施分配合理性、使用合规性、预算执行、资金结余、目标完成情况、违规记录，项目效果的区域均衡性、对象公平性、社会满意度等进行全面自评。</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二、项目资金申报及使用情况</w:t>
      </w:r>
      <w:bookmarkEnd w:id="81"/>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widowControl/>
        <w:suppressLineNumbers w:val="0"/>
        <w:ind w:firstLine="640" w:firstLineChars="200"/>
        <w:jc w:val="left"/>
        <w:rPr>
          <w:rFonts w:hint="eastAsia" w:ascii="楷体_GB2312" w:hAnsi="宋体" w:eastAsia="楷体_GB2312"/>
          <w:b/>
          <w:color w:val="auto"/>
          <w:sz w:val="32"/>
          <w:szCs w:val="32"/>
          <w:highlight w:val="none"/>
          <w:u w:val="none"/>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巴中市市场监管局按照专项资金管理办法通过内部初审、综合平衡、业务部门优化等，经局党组会集体审定后申 报省级药品专项资金，经同级财政并报市政府常务会审定后 分两批下达。</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642"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1</w:t>
      </w:r>
      <w:r>
        <w:rPr>
          <w:rFonts w:hint="eastAsia" w:ascii="楷体_GB2312" w:hAnsi="宋体" w:eastAsia="楷体_GB2312"/>
          <w:b/>
          <w:color w:val="auto"/>
          <w:sz w:val="32"/>
          <w:szCs w:val="32"/>
          <w:highlight w:val="none"/>
          <w:u w:val="none"/>
          <w:lang w:val="en-US" w:eastAsia="zh-CN"/>
        </w:rPr>
        <w:t>.</w:t>
      </w:r>
      <w:r>
        <w:rPr>
          <w:rFonts w:hint="eastAsia" w:ascii="楷体_GB2312" w:hAnsi="宋体" w:eastAsia="楷体_GB2312"/>
          <w:b/>
          <w:color w:val="auto"/>
          <w:sz w:val="32"/>
          <w:szCs w:val="32"/>
          <w:highlight w:val="none"/>
          <w:u w:val="none"/>
          <w:lang w:val="zh-CN"/>
        </w:rPr>
        <w:t>资金计划</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楷体_GB2312" w:hAnsi="宋体" w:eastAsia="楷体_GB2312"/>
          <w:b w:val="0"/>
          <w:bCs/>
          <w:color w:val="auto"/>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en-US" w:eastAsia="zh-CN"/>
        </w:rPr>
        <w:t>022年省级药品监管专项资金分两批下达共计60万元，均为财政资金。</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642" w:firstLineChars="2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en-US" w:eastAsia="zh-CN"/>
        </w:rPr>
        <w:t>2.</w:t>
      </w:r>
      <w:r>
        <w:rPr>
          <w:rFonts w:hint="eastAsia" w:ascii="楷体_GB2312" w:hAnsi="宋体" w:eastAsia="楷体_GB2312"/>
          <w:b/>
          <w:color w:val="auto"/>
          <w:sz w:val="32"/>
          <w:szCs w:val="32"/>
          <w:highlight w:val="none"/>
          <w:u w:val="none"/>
          <w:lang w:val="zh-CN"/>
        </w:rPr>
        <w:t>资金到位</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firstLine="640" w:firstLineChars="200"/>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2022年专项资金共分两批次下达，总额为60万元，资金到位率100%，各批资金均及时下达，资金到位情况与资金计划一致。</w:t>
      </w:r>
    </w:p>
    <w:p>
      <w:pPr>
        <w:keepNext w:val="0"/>
        <w:keepLines w:val="0"/>
        <w:widowControl/>
        <w:numPr>
          <w:ilvl w:val="0"/>
          <w:numId w:val="0"/>
        </w:numPr>
        <w:suppressLineNumbers w:val="0"/>
        <w:ind w:firstLine="642" w:firstLineChars="200"/>
        <w:jc w:val="both"/>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en-US" w:eastAsia="zh-CN"/>
        </w:rPr>
        <w:t>3.</w:t>
      </w:r>
      <w:r>
        <w:rPr>
          <w:rFonts w:hint="eastAsia" w:ascii="楷体_GB2312" w:hAnsi="宋体" w:eastAsia="楷体_GB2312"/>
          <w:b/>
          <w:color w:val="auto"/>
          <w:sz w:val="32"/>
          <w:szCs w:val="32"/>
          <w:highlight w:val="none"/>
          <w:u w:val="none"/>
          <w:lang w:val="zh-CN"/>
        </w:rPr>
        <w:t>资金使用</w:t>
      </w:r>
    </w:p>
    <w:p>
      <w:pPr>
        <w:keepNext w:val="0"/>
        <w:keepLines w:val="0"/>
        <w:widowControl/>
        <w:numPr>
          <w:ilvl w:val="0"/>
          <w:numId w:val="0"/>
        </w:numPr>
        <w:suppressLineNumbers w:val="0"/>
        <w:ind w:firstLine="640" w:firstLineChars="200"/>
        <w:jc w:val="both"/>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根据自评自查情况，截止评价时点，2022年省级药品监管专项资金共使用60万元，预算执行率100%。 为确保2022 年省级药品监管专项资金使用绩效自评工作扎实全面组织专项资金各责任科室和单位对专项资金分类自评。根据评价情况，项目实施单位均能按照专项资金管理办法使用资金，支付标准、支付进度和支付依据合法合规，财务管理制度执行严格，账务处理及时，资金使用的整体安全性、规范性及有效性较高。</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widowControl/>
        <w:numPr>
          <w:ilvl w:val="0"/>
          <w:numId w:val="0"/>
        </w:numPr>
        <w:suppressLineNumbers w:val="0"/>
        <w:ind w:firstLine="640" w:firstLineChars="200"/>
        <w:jc w:val="both"/>
        <w:rPr>
          <w:rFonts w:hint="eastAsia" w:ascii="黑体" w:hAnsi="宋体" w:eastAsia="黑体"/>
          <w:color w:val="auto"/>
          <w:sz w:val="32"/>
          <w:szCs w:val="32"/>
          <w:highlight w:val="none"/>
          <w:u w:val="none"/>
        </w:rPr>
      </w:pPr>
      <w:bookmarkStart w:id="82" w:name="_Toc3264"/>
      <w:r>
        <w:rPr>
          <w:rFonts w:hint="eastAsia" w:ascii="仿宋_GB2312" w:hAnsi="仿宋_GB2312" w:eastAsia="仿宋_GB2312" w:cs="仿宋_GB2312"/>
          <w:color w:val="auto"/>
          <w:kern w:val="0"/>
          <w:sz w:val="32"/>
          <w:szCs w:val="32"/>
          <w:highlight w:val="none"/>
          <w:u w:val="none"/>
          <w:shd w:val="clear" w:color="auto" w:fill="FFFFFF"/>
          <w:lang w:val="en-US" w:eastAsia="zh-CN"/>
        </w:rPr>
        <w:t>2022年，巴中市市场监管局根据专项资金管理办法和项 目实施方案等要求，对专项资金的下达、使用和监管进行严格管理，严格规范专项资金使用全过程。根据自评情况，各项目实施单位财务制度健全规范，均能够按照《政府会计制度和内部控制制度》管理使用资金，并对专项资金专账核 算、专款专用，会计核算规范、账务处理及时。</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三、项目实施及管理情况</w:t>
      </w:r>
      <w:bookmarkEnd w:id="82"/>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项目组织架构健全、管理制度比较完善、组织实施单位分工明确、尽职履责，项目实施的流程清晰具体。一是责任分工及绩效监控方面，巴中市市场监管局与市产品质量检测中心合理分工，对药品、化妆品、医疗器械等严格按照绩效目标来，做到事前、事中、事后全链条监管；</w:t>
      </w:r>
      <w:r>
        <w:rPr>
          <w:rFonts w:hint="eastAsia" w:ascii="仿宋_GB2312" w:hAnsi="仿宋_GB2312" w:eastAsia="仿宋_GB2312" w:cs="仿宋_GB2312"/>
          <w:color w:val="auto"/>
          <w:kern w:val="0"/>
          <w:sz w:val="32"/>
          <w:szCs w:val="32"/>
          <w:highlight w:val="none"/>
          <w:u w:val="none"/>
          <w:shd w:val="clear" w:color="auto" w:fill="FFFFFF"/>
          <w:lang w:val="zh-CN" w:eastAsia="zh-CN"/>
        </w:rPr>
        <w:t>二是压实资金使用和项目实施责任方面。巴中市市场监管局压实专项资金执行责任，根据资金类型明确工作任务有力保障了我市市场监管工作的有序开展。</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楷体_GB2312" w:hAnsi="宋体" w:eastAsia="楷体_GB2312"/>
          <w:b/>
          <w:color w:val="auto"/>
          <w:sz w:val="32"/>
          <w:szCs w:val="32"/>
          <w:highlight w:val="none"/>
          <w:u w:val="none"/>
          <w:lang w:val="zh-CN"/>
        </w:rPr>
        <w:t>（二）项目管理情况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楷体_GB2312" w:hAnsi="宋体" w:eastAsia="楷体_GB2312"/>
          <w:b/>
          <w:color w:val="auto"/>
          <w:sz w:val="32"/>
          <w:szCs w:val="32"/>
          <w:highlight w:val="none"/>
          <w:u w:val="none"/>
          <w:lang w:val="zh-CN"/>
        </w:rPr>
      </w:pPr>
      <w:r>
        <w:rPr>
          <w:rFonts w:hint="eastAsia" w:ascii="仿宋_GB2312" w:hAnsi="仿宋_GB2312" w:eastAsia="仿宋_GB2312" w:cs="仿宋_GB2312"/>
          <w:color w:val="auto"/>
          <w:kern w:val="0"/>
          <w:sz w:val="32"/>
          <w:szCs w:val="32"/>
          <w:highlight w:val="none"/>
          <w:u w:val="none"/>
          <w:shd w:val="clear" w:color="auto" w:fill="FFFFFF"/>
          <w:lang w:val="zh-CN" w:eastAsia="zh-CN"/>
        </w:rPr>
        <w:t>项目预算执行严格遵守《政府采购法》《专项资金管理 办法》《产品质量监督抽查管理暂行办法》《中华人民共和国药品管理法》、《化妆品监督管理条例》等相关法律法规和重要文件和项目管理制度要求，未发现违反招投标、政府采购、 项目公示制度等相关情况。</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leftChars="200" w:firstLine="321" w:firstLineChars="10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（三）项目监管情况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both"/>
        <w:textAlignment w:val="auto"/>
        <w:rPr>
          <w:rFonts w:hint="eastAsia" w:ascii="黑体" w:hAnsi="宋体" w:eastAsia="黑体"/>
          <w:color w:val="auto"/>
          <w:sz w:val="32"/>
          <w:szCs w:val="32"/>
          <w:highlight w:val="none"/>
          <w:u w:val="none"/>
        </w:rPr>
      </w:pPr>
      <w:bookmarkStart w:id="83" w:name="_Toc20210"/>
      <w:r>
        <w:rPr>
          <w:rFonts w:hint="eastAsia" w:ascii="仿宋_GB2312" w:hAnsi="仿宋_GB2312" w:eastAsia="仿宋_GB2312" w:cs="仿宋_GB2312"/>
          <w:color w:val="auto"/>
          <w:kern w:val="0"/>
          <w:sz w:val="32"/>
          <w:szCs w:val="32"/>
          <w:highlight w:val="none"/>
          <w:u w:val="none"/>
          <w:shd w:val="clear" w:color="auto" w:fill="FFFFFF"/>
          <w:lang w:val="en-US" w:eastAsia="zh-CN"/>
        </w:rPr>
        <w:t>2022年巴中市市场监管局持续强化项目监管，确保全市市场监管工作扎实推进。强化全过程预算绩效管理，着力提升事前评估、事中监控和事后评价水平，不断提高财政资金使用绩效，确保每一笔钱都花在“刀刃上”。严格按照绩效目标执行，对项目实施中的进度按时进行督查，确保了项目按时按质完成，从而进一步保障全市人民身体健康，确保用药用械安全。</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仿宋_GB2312" w:hAnsi="宋体"/>
          <w:color w:val="auto"/>
          <w:sz w:val="32"/>
          <w:szCs w:val="32"/>
          <w:highlight w:val="none"/>
          <w:u w:val="none"/>
          <w:lang w:val="zh-CN"/>
        </w:rPr>
      </w:pPr>
      <w:r>
        <w:rPr>
          <w:rFonts w:hint="eastAsia" w:ascii="黑体" w:hAnsi="宋体" w:eastAsia="黑体"/>
          <w:color w:val="auto"/>
          <w:sz w:val="32"/>
          <w:szCs w:val="32"/>
          <w:highlight w:val="none"/>
          <w:u w:val="none"/>
        </w:rPr>
        <w:t>四、项目绩效情况</w:t>
      </w:r>
      <w:bookmarkEnd w:id="83"/>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2022年12月31日前</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完成。</w:t>
      </w:r>
      <w:r>
        <w:rPr>
          <w:rFonts w:hint="eastAsia" w:ascii="仿宋_GB2312" w:hAnsi="仿宋_GB2312" w:eastAsia="仿宋_GB2312" w:cs="仿宋_GB2312"/>
          <w:color w:val="auto"/>
          <w:kern w:val="0"/>
          <w:sz w:val="32"/>
          <w:szCs w:val="32"/>
          <w:highlight w:val="none"/>
          <w:u w:val="none"/>
          <w:shd w:val="clear" w:color="auto" w:fill="FFFFFF"/>
          <w:lang w:val="zh-CN"/>
        </w:rPr>
        <w:t>药品抽验</w:t>
      </w:r>
      <w:r>
        <w:rPr>
          <w:rFonts w:hint="eastAsia" w:ascii="仿宋_GB2312" w:hAnsi="仿宋_GB2312" w:eastAsia="仿宋_GB2312" w:cs="仿宋_GB2312"/>
          <w:color w:val="auto"/>
          <w:kern w:val="0"/>
          <w:sz w:val="32"/>
          <w:szCs w:val="32"/>
          <w:highlight w:val="none"/>
          <w:u w:val="none"/>
          <w:shd w:val="clear" w:color="auto" w:fill="FFFFFF"/>
          <w:lang w:val="en-US" w:eastAsia="zh-CN"/>
        </w:rPr>
        <w:t>167</w:t>
      </w:r>
      <w:r>
        <w:rPr>
          <w:rFonts w:hint="eastAsia" w:ascii="仿宋_GB2312" w:hAnsi="仿宋_GB2312" w:eastAsia="仿宋_GB2312" w:cs="仿宋_GB2312"/>
          <w:color w:val="auto"/>
          <w:kern w:val="0"/>
          <w:sz w:val="32"/>
          <w:szCs w:val="32"/>
          <w:highlight w:val="none"/>
          <w:u w:val="none"/>
          <w:shd w:val="clear" w:color="auto" w:fill="FFFFFF"/>
          <w:lang w:val="zh-CN"/>
        </w:rPr>
        <w:t>批次</w:t>
      </w:r>
      <w:r>
        <w:rPr>
          <w:rFonts w:hint="eastAsia" w:ascii="仿宋_GB2312" w:hAnsi="仿宋_GB2312" w:eastAsia="仿宋_GB2312" w:cs="仿宋_GB2312"/>
          <w:color w:val="auto"/>
          <w:kern w:val="0"/>
          <w:sz w:val="32"/>
          <w:szCs w:val="32"/>
          <w:highlight w:val="none"/>
          <w:u w:val="none"/>
          <w:shd w:val="clear" w:color="auto" w:fill="FFFFFF"/>
          <w:lang w:val="en-US" w:eastAsia="zh-CN"/>
        </w:rPr>
        <w:t>;化妆品抽验28批次;医疗器械抽验26批次。</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药品、化妆品、医疗器械抽检完成率达到了</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100</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%。药品抽检平均标准为</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2500元</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。“两品一械”总体安全水平不断提高。可持续影响指标。药械化监管水平不断提高。公众对药品安全满意度达到了</w:t>
      </w: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7</w:t>
      </w:r>
      <w:r>
        <w:rPr>
          <w:rFonts w:hint="eastAsia" w:ascii="仿宋_GB2312" w:hAnsi="仿宋_GB2312" w:eastAsia="仿宋_GB2312" w:cs="仿宋_GB2312"/>
          <w:color w:val="auto"/>
          <w:kern w:val="0"/>
          <w:sz w:val="32"/>
          <w:szCs w:val="32"/>
          <w:highlight w:val="none"/>
          <w:u w:val="none"/>
          <w:shd w:val="clear" w:color="auto" w:fill="FFFFFF"/>
          <w:lang w:val="zh-CN" w:eastAsia="zh-CN" w:bidi="ar-SA"/>
        </w:rPr>
        <w:t>5%以上。</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keepNext w:val="0"/>
        <w:keepLines w:val="0"/>
        <w:widowControl/>
        <w:suppressLineNumbers w:val="0"/>
        <w:ind w:firstLine="640" w:firstLineChars="200"/>
        <w:jc w:val="both"/>
        <w:rPr>
          <w:rFonts w:hint="eastAsia" w:ascii="黑体" w:hAnsi="宋体" w:eastAsia="黑体"/>
          <w:color w:val="auto"/>
          <w:sz w:val="32"/>
          <w:szCs w:val="32"/>
          <w:highlight w:val="none"/>
          <w:u w:val="none"/>
        </w:rPr>
      </w:pPr>
      <w:bookmarkStart w:id="84" w:name="_Toc10046"/>
      <w:r>
        <w:rPr>
          <w:rFonts w:hint="eastAsia" w:ascii="仿宋_GB2312" w:hAnsi="仿宋_GB2312" w:eastAsia="仿宋_GB2312" w:cs="仿宋_GB2312"/>
          <w:color w:val="auto"/>
          <w:kern w:val="0"/>
          <w:sz w:val="32"/>
          <w:szCs w:val="32"/>
          <w:highlight w:val="none"/>
          <w:u w:val="none"/>
          <w:shd w:val="clear" w:color="auto" w:fill="FFFFFF"/>
          <w:lang w:val="en-US" w:eastAsia="zh-CN" w:bidi="ar-SA"/>
        </w:rPr>
        <w:t>扎实推进建设放心舒心消费环境，维护市场公平竞争秩 序，维护了良好的药品、医疗器械、化妆品的行业形象与环境产生了良好的社会效益；严守“两品一化”安全，保障人民生命财产健康安全，持续有效提升应急处置能力产生了良好的可持续效益；2022年全市公众对“两品一化”安全的满意度达不断提升。</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r>
        <w:rPr>
          <w:rFonts w:hint="eastAsia" w:ascii="黑体" w:hAnsi="宋体" w:eastAsia="黑体"/>
          <w:color w:val="auto"/>
          <w:sz w:val="32"/>
          <w:szCs w:val="32"/>
          <w:highlight w:val="none"/>
          <w:u w:val="none"/>
        </w:rPr>
        <w:t>五、评价结论及建议</w:t>
      </w:r>
      <w:bookmarkEnd w:id="84"/>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widowControl/>
        <w:suppressLineNumbers w:val="0"/>
        <w:ind w:firstLine="640" w:firstLineChars="200"/>
        <w:jc w:val="both"/>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 xml:space="preserve">2022年总体来看，省级药品监管专项资金各单位自评得分集中分布于 90 分～100 分之间，药品监管专项目标完成情况良好，在助力全市高质量发展中贡献了市场监管力量。但也存在一些不足，例如绩效目标设置有进一步提升的空间等。 </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keepNext w:val="0"/>
        <w:keepLines w:val="0"/>
        <w:widowControl/>
        <w:suppressLineNumbers w:val="0"/>
        <w:ind w:firstLine="640" w:firstLineChars="200"/>
        <w:jc w:val="both"/>
        <w:rPr>
          <w:rFonts w:hint="eastAsia" w:ascii="仿宋_GB2312" w:hAnsi="仿宋_GB2312" w:eastAsia="仿宋_GB2312" w:cs="仿宋_GB2312"/>
          <w:color w:val="auto"/>
          <w:kern w:val="0"/>
          <w:sz w:val="32"/>
          <w:szCs w:val="32"/>
          <w:highlight w:val="none"/>
          <w:u w:val="none"/>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一是部分单位省级预算资金执行进度稍有滞后。根据全面自查和重点抽查情况，财政部门专项资金预算下达较晚，导致预算执行滞后。</w:t>
      </w:r>
    </w:p>
    <w:p>
      <w:pPr>
        <w:keepNext w:val="0"/>
        <w:keepLines w:val="0"/>
        <w:widowControl/>
        <w:suppressLineNumbers w:val="0"/>
        <w:ind w:firstLine="640" w:firstLineChars="200"/>
        <w:jc w:val="both"/>
        <w:rPr>
          <w:rFonts w:hint="eastAsia" w:ascii="楷体_GB2312" w:hAnsi="宋体" w:eastAsia="楷体_GB2312"/>
          <w:b/>
          <w:color w:val="auto"/>
          <w:sz w:val="32"/>
          <w:szCs w:val="32"/>
          <w:highlight w:val="none"/>
          <w:u w:val="none"/>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 xml:space="preserve"> 二是全面绩效管理理念及水平需进一步加强。本次自评发现，个别单位仍有“重安排，轻监督；重使用，轻绩效”的倾向，预算资金全过程绩效管理水平有待进一步提升。</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keepNext w:val="0"/>
        <w:keepLines w:val="0"/>
        <w:widowControl/>
        <w:suppressLineNumbers w:val="0"/>
        <w:ind w:firstLine="640" w:firstLineChars="200"/>
        <w:jc w:val="both"/>
        <w:rPr>
          <w:rFonts w:hint="eastAsia" w:ascii="仿宋_GB2312" w:hAnsi="仿宋_GB2312" w:eastAsia="仿宋_GB2312" w:cs="仿宋_GB2312"/>
          <w:color w:val="auto"/>
          <w:kern w:val="0"/>
          <w:sz w:val="32"/>
          <w:szCs w:val="32"/>
          <w:highlight w:val="none"/>
          <w:u w:val="none"/>
          <w:shd w:val="clear" w:color="auto" w:fill="FFFFFF"/>
          <w:lang w:val="en-US" w:eastAsia="zh-CN" w:bidi="ar-SA"/>
        </w:r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 xml:space="preserve">一是财政部门尽早下达专项资金，资金使用单位在专项资金下达后，及时商同级财政部门，及时下达预算资金与实施方案，保障各项监管工作及时有效开展，推动财政资金高效及时使用。 </w:t>
      </w:r>
    </w:p>
    <w:p>
      <w:pPr>
        <w:widowControl/>
        <w:ind w:firstLine="320" w:firstLineChars="100"/>
        <w:jc w:val="left"/>
        <w:rPr>
          <w:rFonts w:hint="eastAsia" w:ascii="仿宋_GB2312" w:hAnsi="仿宋_GB2312" w:eastAsia="仿宋_GB2312" w:cs="仿宋_GB2312"/>
          <w:color w:val="auto"/>
          <w:kern w:val="0"/>
          <w:sz w:val="32"/>
          <w:szCs w:val="32"/>
          <w:highlight w:val="none"/>
          <w:u w:val="none"/>
          <w:shd w:val="clear" w:color="auto" w:fill="FFFFFF"/>
          <w:lang w:val="en-US" w:eastAsia="zh-CN" w:bidi="ar-SA"/>
        </w:rPr>
        <w:sectPr>
          <w:footerReference r:id="rId8" w:type="first"/>
          <w:headerReference r:id="rId6" w:type="default"/>
          <w:footerReference r:id="rId7" w:type="default"/>
          <w:pgSz w:w="11906" w:h="16838"/>
          <w:pgMar w:top="1440" w:right="1800" w:bottom="1440" w:left="1800" w:header="851" w:footer="992" w:gutter="0"/>
          <w:pgNumType w:start="1"/>
          <w:cols w:space="425" w:num="1"/>
          <w:titlePg/>
          <w:docGrid w:type="lines" w:linePitch="312" w:charSpace="0"/>
        </w:sectPr>
      </w:pPr>
      <w:r>
        <w:rPr>
          <w:rFonts w:hint="eastAsia" w:ascii="仿宋_GB2312" w:hAnsi="仿宋_GB2312" w:eastAsia="仿宋_GB2312" w:cs="仿宋_GB2312"/>
          <w:color w:val="auto"/>
          <w:kern w:val="0"/>
          <w:sz w:val="32"/>
          <w:szCs w:val="32"/>
          <w:highlight w:val="none"/>
          <w:u w:val="none"/>
          <w:shd w:val="clear" w:color="auto" w:fill="FFFFFF"/>
          <w:lang w:val="en-US" w:eastAsia="zh-CN" w:bidi="ar-SA"/>
        </w:rPr>
        <w:t xml:space="preserve"> 二是进一步强化绩效管理体系建设，提升项目绩效管理水平，不断强化绩效管理学习培训，提升各级人员绩效管理意识，积极培养重视绩效的管理氛围。</w:t>
      </w:r>
    </w:p>
    <w:tbl>
      <w:tblPr>
        <w:tblStyle w:val="15"/>
        <w:tblW w:w="137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765"/>
        <w:gridCol w:w="600"/>
        <w:gridCol w:w="1440"/>
        <w:gridCol w:w="915"/>
        <w:gridCol w:w="885"/>
        <w:gridCol w:w="450"/>
        <w:gridCol w:w="690"/>
        <w:gridCol w:w="660"/>
        <w:gridCol w:w="180"/>
        <w:gridCol w:w="270"/>
        <w:gridCol w:w="1920"/>
        <w:gridCol w:w="4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767" w:type="dxa"/>
            <w:gridSpan w:val="13"/>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i w:val="0"/>
                <w:color w:val="000000"/>
                <w:kern w:val="0"/>
                <w:sz w:val="32"/>
                <w:szCs w:val="32"/>
                <w:u w:val="none"/>
                <w:lang w:val="en-US" w:eastAsia="zh-CN" w:bidi="ar"/>
              </w:rPr>
            </w:pPr>
          </w:p>
          <w:tbl>
            <w:tblPr>
              <w:tblStyle w:val="15"/>
              <w:tblW w:w="13541"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
              <w:gridCol w:w="790"/>
              <w:gridCol w:w="765"/>
              <w:gridCol w:w="600"/>
              <w:gridCol w:w="555"/>
              <w:gridCol w:w="885"/>
              <w:gridCol w:w="915"/>
              <w:gridCol w:w="885"/>
              <w:gridCol w:w="450"/>
              <w:gridCol w:w="690"/>
              <w:gridCol w:w="660"/>
              <w:gridCol w:w="180"/>
              <w:gridCol w:w="270"/>
              <w:gridCol w:w="1785"/>
              <w:gridCol w:w="390"/>
              <w:gridCol w:w="3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525" w:hRule="atLeast"/>
              </w:trPr>
              <w:tc>
                <w:tcPr>
                  <w:tcW w:w="13536"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
                  </w:pPr>
                  <w:r>
                    <w:rPr>
                      <w:rFonts w:hint="default" w:ascii="Times New Roman" w:hAnsi="Times New Roman" w:eastAsia="宋体" w:cs="Times New Roman"/>
                      <w:b/>
                      <w:i w:val="0"/>
                      <w:color w:val="000000"/>
                      <w:kern w:val="0"/>
                      <w:sz w:val="32"/>
                      <w:szCs w:val="32"/>
                      <w:u w:val="none"/>
                      <w:lang w:val="en-US" w:eastAsia="zh-CN" w:bidi="ar"/>
                    </w:rPr>
                    <w:t>2022</w:t>
                  </w:r>
                  <w:r>
                    <w:rPr>
                      <w:rStyle w:val="41"/>
                      <w:lang w:val="en-US" w:eastAsia="zh-CN" w:bidi="ar"/>
                    </w:rPr>
                    <w:t>年市级部门预算项目支出绩效目标</w:t>
                  </w:r>
                  <w:r>
                    <w:rPr>
                      <w:rStyle w:val="41"/>
                      <w:rFonts w:hint="eastAsia"/>
                      <w:lang w:val="en-US" w:eastAsia="zh-CN" w:bidi="ar"/>
                    </w:rPr>
                    <w:t>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85" w:hRule="atLeast"/>
              </w:trPr>
              <w:tc>
                <w:tcPr>
                  <w:tcW w:w="13536" w:type="dxa"/>
                  <w:gridSpan w:val="1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单位（盖章）：巴中市市场监督管理局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198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2022年中央药品监管补助资金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预算单位</w:t>
                  </w:r>
                </w:p>
              </w:tc>
              <w:tc>
                <w:tcPr>
                  <w:tcW w:w="429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巴中市市场监督管理局</w:t>
                  </w:r>
                </w:p>
              </w:tc>
              <w:tc>
                <w:tcPr>
                  <w:tcW w:w="15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实施单位及责任人</w:t>
                  </w:r>
                </w:p>
              </w:tc>
              <w:tc>
                <w:tcPr>
                  <w:tcW w:w="6161"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局机关戚思国、巴州区局王瑞林、恩阳区局聂菠、平昌局苟耀华、通江局熊文明  、南江局李斌、经开区分局曾琴、综合执法支队曾勇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429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161"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项目属性</w:t>
                  </w:r>
                </w:p>
              </w:tc>
              <w:tc>
                <w:tcPr>
                  <w:tcW w:w="429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2"/>
                      <w:lang w:val="en-US" w:eastAsia="zh-CN" w:bidi="ar"/>
                    </w:rPr>
                    <w:t>□新增项目   □</w:t>
                  </w:r>
                  <w:r>
                    <w:rPr>
                      <w:rFonts w:ascii="Symbol" w:hAnsi="Symbol" w:eastAsia="宋体" w:cs="Symbol"/>
                      <w:i w:val="0"/>
                      <w:color w:val="000000"/>
                      <w:kern w:val="0"/>
                      <w:sz w:val="20"/>
                      <w:szCs w:val="20"/>
                      <w:u w:val="none"/>
                      <w:lang w:val="en-US" w:eastAsia="zh-CN" w:bidi="ar"/>
                    </w:rPr>
                    <w:t>÷</w:t>
                  </w:r>
                  <w:r>
                    <w:rPr>
                      <w:rStyle w:val="42"/>
                      <w:lang w:val="en-US" w:eastAsia="zh-CN" w:bidi="ar"/>
                    </w:rPr>
                    <w:t>延续项目</w:t>
                  </w:r>
                </w:p>
              </w:tc>
              <w:tc>
                <w:tcPr>
                  <w:tcW w:w="1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项目期限</w:t>
                  </w:r>
                </w:p>
              </w:tc>
              <w:tc>
                <w:tcPr>
                  <w:tcW w:w="616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2"/>
                      <w:lang w:val="en-US" w:eastAsia="zh-CN" w:bidi="ar"/>
                    </w:rPr>
                    <w:t>□一次性　　□</w:t>
                  </w:r>
                  <w:r>
                    <w:rPr>
                      <w:rFonts w:ascii="Symbol" w:hAnsi="Symbol" w:eastAsia="宋体" w:cs="Symbol"/>
                      <w:i w:val="0"/>
                      <w:color w:val="000000"/>
                      <w:kern w:val="0"/>
                      <w:sz w:val="20"/>
                      <w:szCs w:val="20"/>
                      <w:u w:val="none"/>
                      <w:lang w:val="en-US" w:eastAsia="zh-CN" w:bidi="ar"/>
                    </w:rPr>
                    <w:t>÷</w:t>
                  </w:r>
                  <w:r>
                    <w:rPr>
                      <w:rStyle w:val="42"/>
                      <w:lang w:val="en-US" w:eastAsia="zh-CN" w:bidi="ar"/>
                    </w:rPr>
                    <w:t>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立项依据</w:t>
                  </w:r>
                </w:p>
              </w:tc>
              <w:tc>
                <w:tcPr>
                  <w:tcW w:w="1198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2"/>
                      <w:lang w:val="en-US" w:eastAsia="zh-CN" w:bidi="ar"/>
                    </w:rPr>
                    <w:t>□</w:t>
                  </w:r>
                  <w:r>
                    <w:rPr>
                      <w:rFonts w:ascii="Symbol" w:hAnsi="Symbol" w:eastAsia="宋体" w:cs="Symbol"/>
                      <w:i w:val="0"/>
                      <w:color w:val="000000"/>
                      <w:kern w:val="0"/>
                      <w:sz w:val="20"/>
                      <w:szCs w:val="20"/>
                      <w:u w:val="none"/>
                      <w:lang w:val="en-US" w:eastAsia="zh-CN" w:bidi="ar"/>
                    </w:rPr>
                    <w:t>÷</w:t>
                  </w:r>
                  <w:r>
                    <w:rPr>
                      <w:rStyle w:val="42"/>
                      <w:lang w:val="en-US" w:eastAsia="zh-CN" w:bidi="ar"/>
                    </w:rPr>
                    <w:t>法律法规 　□市委市政府决定　 □上级文件要求　　□市委市政府领导指示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5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项目资金</w:t>
                  </w: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中期资金总额：  万元</w:t>
                  </w:r>
                </w:p>
              </w:tc>
              <w:tc>
                <w:tcPr>
                  <w:tcW w:w="3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年度资金总额：198 万元</w:t>
                  </w:r>
                </w:p>
              </w:tc>
              <w:tc>
                <w:tcPr>
                  <w:tcW w:w="5891"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年度资金中：政府采购    万元（政府购买服务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其中：财政拨款   万元</w:t>
                  </w:r>
                </w:p>
              </w:tc>
              <w:tc>
                <w:tcPr>
                  <w:tcW w:w="3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其中：财政拨款 198 万元</w:t>
                  </w:r>
                </w:p>
              </w:tc>
              <w:tc>
                <w:tcPr>
                  <w:tcW w:w="5891"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其他资金   万元</w:t>
                  </w:r>
                </w:p>
              </w:tc>
              <w:tc>
                <w:tcPr>
                  <w:tcW w:w="3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其他资金   万元</w:t>
                  </w:r>
                </w:p>
              </w:tc>
              <w:tc>
                <w:tcPr>
                  <w:tcW w:w="5891"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09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延续项目以前年度预算安排：    万元</w:t>
                  </w:r>
                </w:p>
              </w:tc>
              <w:tc>
                <w:tcPr>
                  <w:tcW w:w="5891"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    资金</w:t>
                  </w:r>
                </w:p>
              </w:tc>
              <w:tc>
                <w:tcPr>
                  <w:tcW w:w="13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1.一般公共预算收入</w:t>
                  </w:r>
                </w:p>
              </w:tc>
              <w:tc>
                <w:tcPr>
                  <w:tcW w:w="18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2.政府性基金预算收入</w:t>
                  </w:r>
                </w:p>
              </w:tc>
              <w:tc>
                <w:tcPr>
                  <w:tcW w:w="18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3.国有资本经营预算收入</w:t>
                  </w:r>
                </w:p>
              </w:tc>
              <w:tc>
                <w:tcPr>
                  <w:tcW w:w="262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4.社会保险             基金收入</w:t>
                  </w:r>
                </w:p>
              </w:tc>
              <w:tc>
                <w:tcPr>
                  <w:tcW w:w="3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2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来源</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6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总体   目标</w:t>
                  </w:r>
                </w:p>
              </w:tc>
              <w:tc>
                <w:tcPr>
                  <w:tcW w:w="57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中长期目标（20**年－20**年）</w:t>
                  </w:r>
                </w:p>
              </w:tc>
              <w:tc>
                <w:tcPr>
                  <w:tcW w:w="70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74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700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2"/>
                      <w:lang w:val="en-US" w:eastAsia="zh-CN" w:bidi="ar"/>
                    </w:rPr>
                    <w:t xml:space="preserve"> 一是加强“两品一械”企业监管力度；二是加强安全抽检工作；三是加强监管人员培训；四是加大科普宣传力度；五是公众对药品生产监管满意度不断提升。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绩效指标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  指标</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二级指标 </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三级指标 </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指标值（含数字       及文字描述）</w:t>
                  </w: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   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数量指标 </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1.药品抽验批次</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r>
                    <w:rPr>
                      <w:rStyle w:val="42"/>
                      <w:lang w:val="en-US" w:eastAsia="zh-CN" w:bidi="ar"/>
                    </w:rPr>
                    <w:t>医疗器械抽验批次</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3.药品监管企业数</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4.化妆品监管企业数</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5.医疗器械监管企业数</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6.药品监管人员专业化培训学时</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7.药物滥用常规监测任务数</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质量指标 </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1.药品、医疗器械抽检完成率</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2.不合格产品处置率</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3.药品不良反应每百万人口报告数</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4.化 妆品不良反应每百万人口报告数</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5.医疗器械不良反应每百万人口报告数</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≧590例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6.培训人员覆盖率</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时效指标 </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color w:val="000000"/>
                      <w:sz w:val="20"/>
                      <w:szCs w:val="20"/>
                      <w:u w:val="none"/>
                    </w:rPr>
                  </w:pPr>
                </w:p>
              </w:tc>
              <w:tc>
                <w:tcPr>
                  <w:tcW w:w="91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color w:val="000000"/>
                      <w:sz w:val="20"/>
                      <w:szCs w:val="20"/>
                      <w:u w:val="none"/>
                    </w:rPr>
                  </w:pPr>
                </w:p>
              </w:tc>
              <w:tc>
                <w:tcPr>
                  <w:tcW w:w="450"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color w:val="000000"/>
                      <w:sz w:val="20"/>
                      <w:szCs w:val="20"/>
                      <w:u w:val="none"/>
                    </w:rPr>
                  </w:pPr>
                </w:p>
              </w:tc>
              <w:tc>
                <w:tcPr>
                  <w:tcW w:w="690"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任务完成时间</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1.培训成本</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2.药品抽检平均标准</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   指标</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rPr>
                  </w:pP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1.“两品一械”总体安全水平</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2.提高“两品一械”安全科普知识宣传覆盖面，公众自我保护意识不断提高</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rPr>
                  </w:pP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1.药械化监管水平</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2.队伍素质和装备配置水平</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满意度指 标 </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    满 意 度</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   满 意 度</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1.公众对药品安全满意度</w:t>
                  </w:r>
                </w:p>
              </w:tc>
              <w:tc>
                <w:tcPr>
                  <w:tcW w:w="4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r>
          </w:tbl>
          <w:p>
            <w:pPr>
              <w:keepNext w:val="0"/>
              <w:keepLines w:val="0"/>
              <w:widowControl/>
              <w:suppressLineNumbers w:val="0"/>
              <w:jc w:val="both"/>
              <w:textAlignment w:val="center"/>
              <w:rPr>
                <w:rFonts w:hint="default" w:ascii="Times New Roman" w:hAnsi="Times New Roman" w:eastAsia="宋体" w:cs="Times New Roman"/>
                <w:b/>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b/>
                <w:i w:val="0"/>
                <w:color w:val="000000"/>
                <w:kern w:val="0"/>
                <w:sz w:val="32"/>
                <w:szCs w:val="32"/>
                <w:u w:val="none"/>
                <w:lang w:val="en-US" w:eastAsia="zh-CN" w:bidi="ar"/>
              </w:rPr>
            </w:pPr>
          </w:p>
          <w:p>
            <w:pPr>
              <w:keepNext w:val="0"/>
              <w:keepLines w:val="0"/>
              <w:widowControl/>
              <w:suppressLineNumbers w:val="0"/>
              <w:jc w:val="center"/>
              <w:textAlignment w:val="center"/>
              <w:rPr>
                <w:rFonts w:hint="default" w:ascii="Times New Roman" w:hAnsi="Times New Roman" w:eastAsia="宋体" w:cs="Times New Roman"/>
                <w:b/>
                <w:i w:val="0"/>
                <w:color w:val="000000"/>
                <w:sz w:val="32"/>
                <w:szCs w:val="32"/>
                <w:u w:val="none"/>
              </w:rPr>
            </w:pPr>
            <w:r>
              <w:rPr>
                <w:rFonts w:hint="default" w:ascii="Times New Roman" w:hAnsi="Times New Roman" w:eastAsia="宋体" w:cs="Times New Roman"/>
                <w:b/>
                <w:i w:val="0"/>
                <w:color w:val="000000"/>
                <w:kern w:val="0"/>
                <w:sz w:val="32"/>
                <w:szCs w:val="32"/>
                <w:u w:val="none"/>
                <w:lang w:val="en-US" w:eastAsia="zh-CN" w:bidi="ar"/>
              </w:rPr>
              <w:t>2022</w:t>
            </w:r>
            <w:r>
              <w:rPr>
                <w:rStyle w:val="38"/>
                <w:lang w:val="en-US" w:eastAsia="zh-CN" w:bidi="ar"/>
              </w:rPr>
              <w:t>年市级部门预算项目支出绩效目标</w:t>
            </w:r>
            <w:r>
              <w:rPr>
                <w:rStyle w:val="38"/>
                <w:rFonts w:hint="eastAsia"/>
                <w:lang w:val="en-US" w:eastAsia="zh-CN" w:bidi="ar"/>
              </w:rPr>
              <w:t>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767"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单位（盖章）：巴中市市场监督管理局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220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2022年省级药品监管补助资金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预算单位</w:t>
            </w:r>
          </w:p>
        </w:tc>
        <w:tc>
          <w:tcPr>
            <w:tcW w:w="429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巴中市市场监督管理局</w:t>
            </w:r>
          </w:p>
        </w:tc>
        <w:tc>
          <w:tcPr>
            <w:tcW w:w="15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实施单位及责任人</w:t>
            </w:r>
          </w:p>
        </w:tc>
        <w:tc>
          <w:tcPr>
            <w:tcW w:w="638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局机关戚思国、市产品质量检验检测中心兰波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429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38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项目属性</w:t>
            </w:r>
          </w:p>
        </w:tc>
        <w:tc>
          <w:tcPr>
            <w:tcW w:w="429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39"/>
                <w:lang w:val="en-US" w:eastAsia="zh-CN" w:bidi="ar"/>
              </w:rPr>
              <w:t>□新增项目   □</w:t>
            </w:r>
            <w:r>
              <w:rPr>
                <w:rStyle w:val="40"/>
                <w:rFonts w:eastAsia="宋体"/>
                <w:lang w:val="en-US" w:eastAsia="zh-CN" w:bidi="ar"/>
              </w:rPr>
              <w:t>÷</w:t>
            </w:r>
            <w:r>
              <w:rPr>
                <w:rStyle w:val="39"/>
                <w:lang w:val="en-US" w:eastAsia="zh-CN" w:bidi="ar"/>
              </w:rPr>
              <w:t>延续项目</w:t>
            </w:r>
          </w:p>
        </w:tc>
        <w:tc>
          <w:tcPr>
            <w:tcW w:w="1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项目期限</w:t>
            </w:r>
          </w:p>
        </w:tc>
        <w:tc>
          <w:tcPr>
            <w:tcW w:w="63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39"/>
                <w:lang w:val="en-US" w:eastAsia="zh-CN" w:bidi="ar"/>
              </w:rPr>
              <w:t>□一次性　　□</w:t>
            </w:r>
            <w:r>
              <w:rPr>
                <w:rStyle w:val="40"/>
                <w:rFonts w:eastAsia="宋体"/>
                <w:lang w:val="en-US" w:eastAsia="zh-CN" w:bidi="ar"/>
              </w:rPr>
              <w:t>÷</w:t>
            </w:r>
            <w:r>
              <w:rPr>
                <w:rStyle w:val="39"/>
                <w:lang w:val="en-US" w:eastAsia="zh-CN" w:bidi="ar"/>
              </w:rPr>
              <w:t>经常性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立项依据</w:t>
            </w:r>
          </w:p>
        </w:tc>
        <w:tc>
          <w:tcPr>
            <w:tcW w:w="1220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39"/>
                <w:lang w:val="en-US" w:eastAsia="zh-CN" w:bidi="ar"/>
              </w:rPr>
              <w:t>□</w:t>
            </w:r>
            <w:r>
              <w:rPr>
                <w:rStyle w:val="40"/>
                <w:rFonts w:eastAsia="宋体"/>
                <w:lang w:val="en-US" w:eastAsia="zh-CN" w:bidi="ar"/>
              </w:rPr>
              <w:t>÷</w:t>
            </w:r>
            <w:r>
              <w:rPr>
                <w:rStyle w:val="39"/>
                <w:lang w:val="en-US" w:eastAsia="zh-CN" w:bidi="ar"/>
              </w:rPr>
              <w:t>法律法规 　□市委市政府决定　 □上级文件要求　　□市委市政府领导指示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5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项目资金</w:t>
            </w: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中期资金总额：  万元</w:t>
            </w:r>
          </w:p>
        </w:tc>
        <w:tc>
          <w:tcPr>
            <w:tcW w:w="3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年度资金总额：60万元</w:t>
            </w:r>
          </w:p>
        </w:tc>
        <w:tc>
          <w:tcPr>
            <w:tcW w:w="6117"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年度资金中：政府采购    万元（政府购买服务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其中：财政拨款   万元</w:t>
            </w:r>
          </w:p>
        </w:tc>
        <w:tc>
          <w:tcPr>
            <w:tcW w:w="3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其中：财政拨款 60万元</w:t>
            </w:r>
          </w:p>
        </w:tc>
        <w:tc>
          <w:tcPr>
            <w:tcW w:w="6117"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其他资金   万元</w:t>
            </w:r>
          </w:p>
        </w:tc>
        <w:tc>
          <w:tcPr>
            <w:tcW w:w="313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其他资金   万元</w:t>
            </w:r>
          </w:p>
        </w:tc>
        <w:tc>
          <w:tcPr>
            <w:tcW w:w="6117"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5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609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延续项目以前年度预算安排：    万元</w:t>
            </w:r>
          </w:p>
        </w:tc>
        <w:tc>
          <w:tcPr>
            <w:tcW w:w="6117"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    资金</w:t>
            </w:r>
          </w:p>
        </w:tc>
        <w:tc>
          <w:tcPr>
            <w:tcW w:w="13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1.一般公共预算收入</w:t>
            </w:r>
          </w:p>
        </w:tc>
        <w:tc>
          <w:tcPr>
            <w:tcW w:w="18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2.政府性基金预算收入</w:t>
            </w:r>
          </w:p>
        </w:tc>
        <w:tc>
          <w:tcPr>
            <w:tcW w:w="18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3.国有资本经营预算收入</w:t>
            </w:r>
          </w:p>
        </w:tc>
        <w:tc>
          <w:tcPr>
            <w:tcW w:w="23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4.社会保险             基金收入</w:t>
            </w:r>
          </w:p>
        </w:tc>
        <w:tc>
          <w:tcPr>
            <w:tcW w:w="41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3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3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1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来源</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3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1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总体   目标</w:t>
            </w:r>
          </w:p>
        </w:tc>
        <w:tc>
          <w:tcPr>
            <w:tcW w:w="57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中长期目标（20**年－20**年）</w:t>
            </w:r>
          </w:p>
        </w:tc>
        <w:tc>
          <w:tcPr>
            <w:tcW w:w="72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57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72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bl>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sectPr>
          <w:footerReference r:id="rId10" w:type="first"/>
          <w:footerReference r:id="rId9" w:type="default"/>
          <w:pgSz w:w="16838" w:h="11906" w:orient="landscape"/>
          <w:pgMar w:top="1800" w:right="1440" w:bottom="1800" w:left="1440" w:header="851" w:footer="992" w:gutter="0"/>
          <w:pgNumType w:start="1"/>
          <w:cols w:space="425" w:num="1"/>
          <w:titlePg/>
          <w:docGrid w:type="lines" w:linePitch="312" w:charSpace="0"/>
        </w:sectPr>
      </w:pPr>
    </w:p>
    <w:tbl>
      <w:tblPr>
        <w:tblStyle w:val="15"/>
        <w:tblW w:w="137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765"/>
        <w:gridCol w:w="1155"/>
        <w:gridCol w:w="885"/>
        <w:gridCol w:w="915"/>
        <w:gridCol w:w="885"/>
        <w:gridCol w:w="450"/>
        <w:gridCol w:w="690"/>
        <w:gridCol w:w="1110"/>
        <w:gridCol w:w="1530"/>
        <w:gridCol w:w="4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绩效指标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  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二级指标 </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三级指标 </w:t>
            </w: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指标值（含数字       及文字描述）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指标值（含数字及文字描述）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   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数量指标 </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1.药品抽验批次</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2.化妆品抽验批次</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3.医疗器械抽验批次</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质量指标 </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1.药品、化妆品、医疗器械抽检完成率</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2.不合格产品处置率</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时效指标 </w:t>
            </w:r>
          </w:p>
        </w:tc>
        <w:tc>
          <w:tcPr>
            <w:tcW w:w="885"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color w:val="000000"/>
                <w:sz w:val="20"/>
                <w:szCs w:val="20"/>
                <w:u w:val="none"/>
              </w:rPr>
            </w:pPr>
          </w:p>
        </w:tc>
        <w:tc>
          <w:tcPr>
            <w:tcW w:w="915"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color w:val="000000"/>
                <w:sz w:val="20"/>
                <w:szCs w:val="20"/>
                <w:u w:val="none"/>
              </w:rPr>
            </w:pPr>
          </w:p>
        </w:tc>
        <w:tc>
          <w:tcPr>
            <w:tcW w:w="450" w:type="dxa"/>
            <w:tcBorders>
              <w:top w:val="single" w:color="000000" w:sz="4" w:space="0"/>
              <w:left w:val="nil"/>
              <w:bottom w:val="single" w:color="000000" w:sz="4" w:space="0"/>
              <w:right w:val="nil"/>
            </w:tcBorders>
            <w:shd w:val="clear" w:color="auto" w:fill="auto"/>
            <w:vAlign w:val="center"/>
          </w:tcPr>
          <w:p>
            <w:pPr>
              <w:rPr>
                <w:rFonts w:hint="eastAsia" w:ascii="宋体" w:hAnsi="宋体" w:eastAsia="宋体" w:cs="宋体"/>
                <w:i w:val="0"/>
                <w:color w:val="000000"/>
                <w:sz w:val="20"/>
                <w:szCs w:val="20"/>
                <w:u w:val="none"/>
              </w:rPr>
            </w:pPr>
          </w:p>
        </w:tc>
        <w:tc>
          <w:tcPr>
            <w:tcW w:w="690"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任务完成时间</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2022年底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药品抽检平均标准</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   指标</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p>
        </w:tc>
        <w:tc>
          <w:tcPr>
            <w:tcW w:w="180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rPr>
            </w:pP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95"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180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“两品一械”总体安全水平</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p>
        </w:tc>
        <w:tc>
          <w:tcPr>
            <w:tcW w:w="180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rPr>
            </w:pP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bl>
    <w:p>
      <w:pPr>
        <w:jc w:val="center"/>
        <w:rPr>
          <w:rFonts w:hint="eastAsia" w:ascii="宋体" w:hAnsi="宋体" w:eastAsia="宋体" w:cs="宋体"/>
          <w:b/>
          <w:i w:val="0"/>
          <w:color w:val="000000"/>
          <w:sz w:val="20"/>
          <w:szCs w:val="20"/>
          <w:u w:val="none"/>
        </w:rPr>
        <w:sectPr>
          <w:footerReference r:id="rId12" w:type="first"/>
          <w:footerReference r:id="rId11" w:type="default"/>
          <w:pgSz w:w="16838" w:h="11906" w:orient="landscape"/>
          <w:pgMar w:top="1800" w:right="1440" w:bottom="1800" w:left="1440" w:header="851" w:footer="992" w:gutter="0"/>
          <w:pgNumType w:start="1"/>
          <w:cols w:space="425" w:num="1"/>
          <w:titlePg/>
          <w:docGrid w:type="lines" w:linePitch="312" w:charSpace="0"/>
        </w:sectPr>
      </w:pPr>
    </w:p>
    <w:tbl>
      <w:tblPr>
        <w:tblStyle w:val="15"/>
        <w:tblW w:w="137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765"/>
        <w:gridCol w:w="1155"/>
        <w:gridCol w:w="1800"/>
        <w:gridCol w:w="2025"/>
        <w:gridCol w:w="1110"/>
        <w:gridCol w:w="1530"/>
        <w:gridCol w:w="4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95" w:type="dxa"/>
            <w:vMerge w:val="restart"/>
            <w:tcBorders>
              <w:top w:val="single" w:color="000000"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药械化监管水平</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b/>
                <w:i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满意度指 标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    满 意 度</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   满 意 度</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公众对药品安全满意度</w:t>
            </w:r>
          </w:p>
        </w:tc>
        <w:tc>
          <w:tcPr>
            <w:tcW w:w="45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767" w:type="dxa"/>
            <w:gridSpan w:val="8"/>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bl>
    <w:p>
      <w:pPr>
        <w:pStyle w:val="2"/>
        <w:rPr>
          <w:rFonts w:hint="eastAsia"/>
          <w:lang w:val="en-US" w:eastAsia="zh-CN"/>
        </w:rPr>
      </w:pPr>
    </w:p>
    <w:p>
      <w:pPr>
        <w:widowControl/>
        <w:jc w:val="left"/>
        <w:rPr>
          <w:rFonts w:hint="eastAsia" w:ascii="仿宋_GB2312" w:hAnsi="仿宋_GB2312" w:eastAsia="仿宋_GB2312" w:cs="仿宋_GB2312"/>
          <w:color w:val="auto"/>
          <w:kern w:val="0"/>
          <w:sz w:val="32"/>
          <w:szCs w:val="32"/>
          <w:highlight w:val="none"/>
          <w:u w:val="none"/>
          <w:shd w:val="clear" w:color="auto" w:fill="FFFFFF"/>
          <w:lang w:val="en-US" w:eastAsia="zh-CN" w:bidi="ar-SA"/>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pPr>
    </w:p>
    <w:p>
      <w:pPr>
        <w:widowControl/>
        <w:jc w:val="left"/>
        <w:rPr>
          <w:rStyle w:val="29"/>
          <w:rFonts w:ascii="黑体" w:hAnsi="黑体" w:eastAsia="黑体"/>
          <w:b w:val="0"/>
          <w:color w:val="auto"/>
          <w:highlight w:val="none"/>
        </w:rPr>
        <w:sectPr>
          <w:footerReference r:id="rId14" w:type="first"/>
          <w:footerReference r:id="rId13" w:type="default"/>
          <w:pgSz w:w="16838" w:h="11906" w:orient="landscape"/>
          <w:pgMar w:top="1800" w:right="1440" w:bottom="1800" w:left="1440" w:header="851" w:footer="992" w:gutter="0"/>
          <w:pgNumType w:start="1"/>
          <w:cols w:space="425" w:num="1"/>
          <w:titlePg/>
          <w:docGrid w:type="lines" w:linePitch="312" w:charSpace="0"/>
        </w:sectPr>
      </w:pPr>
    </w:p>
    <w:p>
      <w:pPr>
        <w:widowControl/>
        <w:jc w:val="left"/>
      </w:pPr>
    </w:p>
    <w:p>
      <w:pPr>
        <w:spacing w:line="600" w:lineRule="exact"/>
        <w:jc w:val="center"/>
        <w:outlineLvl w:val="0"/>
        <w:rPr>
          <w:rFonts w:hint="eastAsia" w:ascii="仿宋" w:hAnsi="仿宋" w:eastAsia="仿宋"/>
          <w:b w:val="0"/>
          <w:color w:val="auto"/>
          <w:highlight w:val="none"/>
        </w:rPr>
      </w:pPr>
      <w:bookmarkStart w:id="85" w:name="_Toc15396618"/>
      <w:bookmarkStart w:id="86" w:name="_Toc22884"/>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74"/>
      <w:bookmarkEnd w:id="85"/>
      <w:bookmarkEnd w:id="86"/>
      <w:bookmarkStart w:id="87" w:name="_Toc15396619"/>
    </w:p>
    <w:p>
      <w:pPr>
        <w:pStyle w:val="4"/>
        <w:rPr>
          <w:rFonts w:ascii="仿宋" w:hAnsi="仿宋" w:eastAsia="仿宋"/>
          <w:color w:val="auto"/>
          <w:highlight w:val="none"/>
        </w:rPr>
      </w:pPr>
      <w:bookmarkStart w:id="88" w:name="_Toc2757"/>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87"/>
      <w:bookmarkEnd w:id="88"/>
    </w:p>
    <w:p>
      <w:pPr>
        <w:pStyle w:val="4"/>
        <w:rPr>
          <w:rFonts w:ascii="仿宋" w:hAnsi="仿宋" w:eastAsia="仿宋"/>
          <w:color w:val="auto"/>
          <w:highlight w:val="none"/>
        </w:rPr>
      </w:pPr>
      <w:bookmarkStart w:id="89" w:name="_Toc15396620"/>
      <w:bookmarkStart w:id="90" w:name="_Toc29781"/>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89"/>
      <w:bookmarkEnd w:id="90"/>
    </w:p>
    <w:p>
      <w:pPr>
        <w:pStyle w:val="4"/>
        <w:rPr>
          <w:rFonts w:ascii="仿宋" w:hAnsi="仿宋" w:eastAsia="仿宋"/>
          <w:color w:val="auto"/>
          <w:highlight w:val="none"/>
        </w:rPr>
      </w:pPr>
      <w:bookmarkStart w:id="91" w:name="_Toc15396621"/>
      <w:bookmarkStart w:id="92" w:name="_Toc32502"/>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91"/>
      <w:bookmarkEnd w:id="92"/>
    </w:p>
    <w:p>
      <w:pPr>
        <w:pStyle w:val="4"/>
        <w:rPr>
          <w:rFonts w:ascii="仿宋" w:hAnsi="仿宋" w:eastAsia="仿宋"/>
          <w:b w:val="0"/>
          <w:color w:val="auto"/>
          <w:highlight w:val="none"/>
        </w:rPr>
      </w:pPr>
      <w:bookmarkStart w:id="93" w:name="_Toc15396622"/>
      <w:bookmarkStart w:id="94" w:name="_Toc2005"/>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93"/>
      <w:bookmarkEnd w:id="94"/>
    </w:p>
    <w:p>
      <w:pPr>
        <w:pStyle w:val="4"/>
        <w:rPr>
          <w:rStyle w:val="30"/>
          <w:rFonts w:ascii="仿宋" w:hAnsi="仿宋" w:eastAsia="仿宋"/>
          <w:b w:val="0"/>
          <w:bCs w:val="0"/>
          <w:color w:val="auto"/>
          <w:highlight w:val="none"/>
        </w:rPr>
      </w:pPr>
      <w:bookmarkStart w:id="95" w:name="_Toc14055"/>
      <w:bookmarkStart w:id="96" w:name="_Toc1539662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95"/>
      <w:bookmarkEnd w:id="96"/>
      <w:bookmarkStart w:id="97" w:name="_Toc15396624"/>
    </w:p>
    <w:p>
      <w:pPr>
        <w:pStyle w:val="4"/>
        <w:rPr>
          <w:rFonts w:ascii="仿宋" w:hAnsi="仿宋" w:eastAsia="仿宋"/>
          <w:color w:val="auto"/>
          <w:highlight w:val="none"/>
        </w:rPr>
      </w:pPr>
      <w:bookmarkStart w:id="98" w:name="_Toc16595"/>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97"/>
      <w:bookmarkEnd w:id="98"/>
    </w:p>
    <w:p>
      <w:pPr>
        <w:pStyle w:val="4"/>
        <w:rPr>
          <w:rFonts w:ascii="仿宋" w:hAnsi="仿宋" w:eastAsia="仿宋"/>
          <w:color w:val="auto"/>
          <w:highlight w:val="none"/>
        </w:rPr>
      </w:pPr>
      <w:bookmarkStart w:id="99" w:name="_Toc16663"/>
      <w:bookmarkStart w:id="100" w:name="_Toc1539662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99"/>
      <w:bookmarkEnd w:id="100"/>
    </w:p>
    <w:p>
      <w:pPr>
        <w:pStyle w:val="4"/>
        <w:rPr>
          <w:rFonts w:ascii="仿宋" w:hAnsi="仿宋" w:eastAsia="仿宋"/>
          <w:color w:val="auto"/>
          <w:highlight w:val="none"/>
        </w:rPr>
      </w:pPr>
      <w:bookmarkStart w:id="101" w:name="_Toc15396626"/>
      <w:bookmarkStart w:id="102" w:name="_Toc31712"/>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101"/>
      <w:bookmarkEnd w:id="102"/>
    </w:p>
    <w:p>
      <w:pPr>
        <w:pStyle w:val="4"/>
        <w:rPr>
          <w:rFonts w:ascii="仿宋" w:hAnsi="仿宋" w:eastAsia="仿宋"/>
          <w:color w:val="auto"/>
          <w:highlight w:val="none"/>
        </w:rPr>
      </w:pPr>
      <w:bookmarkStart w:id="103" w:name="_Toc6077"/>
      <w:bookmarkStart w:id="104" w:name="_Toc15396627"/>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103"/>
      <w:bookmarkEnd w:id="104"/>
    </w:p>
    <w:p>
      <w:pPr>
        <w:pStyle w:val="4"/>
        <w:rPr>
          <w:rFonts w:ascii="仿宋" w:hAnsi="仿宋" w:eastAsia="仿宋"/>
          <w:color w:val="auto"/>
          <w:highlight w:val="none"/>
        </w:rPr>
      </w:pPr>
      <w:bookmarkStart w:id="105" w:name="_Toc15396628"/>
      <w:bookmarkStart w:id="106" w:name="_Toc8880"/>
      <w:r>
        <w:rPr>
          <w:rStyle w:val="30"/>
          <w:rFonts w:hint="eastAsia" w:ascii="仿宋" w:hAnsi="仿宋" w:eastAsia="仿宋"/>
          <w:b w:val="0"/>
          <w:bCs w:val="0"/>
          <w:color w:val="auto"/>
          <w:highlight w:val="none"/>
        </w:rPr>
        <w:t>十、</w:t>
      </w:r>
      <w:bookmarkEnd w:id="105"/>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106"/>
    </w:p>
    <w:p>
      <w:pPr>
        <w:pStyle w:val="4"/>
        <w:rPr>
          <w:rFonts w:ascii="仿宋" w:hAnsi="仿宋" w:eastAsia="仿宋"/>
          <w:color w:val="auto"/>
          <w:highlight w:val="none"/>
        </w:rPr>
      </w:pPr>
      <w:bookmarkStart w:id="107" w:name="_Toc15396629"/>
      <w:bookmarkStart w:id="108" w:name="_Toc23717"/>
      <w:r>
        <w:rPr>
          <w:rStyle w:val="30"/>
          <w:rFonts w:hint="eastAsia" w:ascii="仿宋" w:hAnsi="仿宋" w:eastAsia="仿宋"/>
          <w:b w:val="0"/>
          <w:bCs w:val="0"/>
          <w:color w:val="auto"/>
          <w:highlight w:val="none"/>
        </w:rPr>
        <w:t>十一、</w:t>
      </w:r>
      <w:bookmarkEnd w:id="107"/>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108"/>
    </w:p>
    <w:p>
      <w:pPr>
        <w:pStyle w:val="4"/>
        <w:rPr>
          <w:rFonts w:ascii="仿宋" w:hAnsi="仿宋" w:eastAsia="仿宋"/>
          <w:color w:val="auto"/>
          <w:highlight w:val="none"/>
        </w:rPr>
      </w:pPr>
      <w:bookmarkStart w:id="109" w:name="_Toc15396630"/>
      <w:bookmarkStart w:id="110" w:name="_Toc31497"/>
      <w:r>
        <w:rPr>
          <w:rStyle w:val="30"/>
          <w:rFonts w:hint="eastAsia" w:ascii="仿宋" w:hAnsi="仿宋" w:eastAsia="仿宋"/>
          <w:b w:val="0"/>
          <w:bCs w:val="0"/>
          <w:color w:val="auto"/>
          <w:highlight w:val="none"/>
        </w:rPr>
        <w:t>十二、</w:t>
      </w:r>
      <w:bookmarkEnd w:id="109"/>
      <w:r>
        <w:rPr>
          <w:rStyle w:val="30"/>
          <w:rFonts w:hint="eastAsia" w:ascii="仿宋" w:hAnsi="仿宋" w:eastAsia="仿宋"/>
          <w:b w:val="0"/>
          <w:bCs w:val="0"/>
          <w:color w:val="auto"/>
          <w:highlight w:val="none"/>
          <w:lang w:eastAsia="zh-CN"/>
        </w:rPr>
        <w:t>国有资本经营预算财政拨款支出决算表</w:t>
      </w:r>
      <w:bookmarkEnd w:id="110"/>
    </w:p>
    <w:p>
      <w:pPr>
        <w:pStyle w:val="4"/>
        <w:rPr>
          <w:rFonts w:hint="eastAsia" w:eastAsia="仿宋"/>
          <w:color w:val="auto"/>
          <w:highlight w:val="none"/>
          <w:lang w:eastAsia="zh-CN"/>
        </w:rPr>
      </w:pPr>
      <w:bookmarkStart w:id="111" w:name="_Toc15396631"/>
      <w:bookmarkStart w:id="112" w:name="_Toc25862"/>
      <w:r>
        <w:rPr>
          <w:rStyle w:val="30"/>
          <w:rFonts w:hint="eastAsia" w:ascii="仿宋" w:hAnsi="仿宋" w:eastAsia="仿宋"/>
          <w:b w:val="0"/>
          <w:bCs w:val="0"/>
          <w:color w:val="auto"/>
          <w:highlight w:val="none"/>
        </w:rPr>
        <w:t>十三、</w:t>
      </w:r>
      <w:bookmarkEnd w:id="111"/>
      <w:r>
        <w:rPr>
          <w:rStyle w:val="30"/>
          <w:rFonts w:hint="eastAsia" w:ascii="仿宋" w:hAnsi="仿宋" w:eastAsia="仿宋"/>
          <w:b w:val="0"/>
          <w:bCs w:val="0"/>
          <w:color w:val="auto"/>
          <w:highlight w:val="none"/>
          <w:lang w:eastAsia="zh-CN"/>
        </w:rPr>
        <w:t>财政拨款“三公”经费支出决算表</w:t>
      </w:r>
      <w:bookmarkEnd w:id="112"/>
    </w:p>
    <w:sectPr>
      <w:footerReference r:id="rId16" w:type="first"/>
      <w:footerReference r:id="rId1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panose1 w:val="02000500000000000000"/>
    <w:charset w:val="86"/>
    <w:family w:val="script"/>
    <w:pitch w:val="default"/>
    <w:sig w:usb0="800002AF" w:usb1="084F6CF8" w:usb2="00000010" w:usb3="00000000" w:csb0="0004000F" w:csb1="00000000"/>
  </w:font>
  <w:font w:name="CESI仿宋-GB13000">
    <w:panose1 w:val="02000500000000000000"/>
    <w:charset w:val="86"/>
    <w:family w:val="script"/>
    <w:pitch w:val="default"/>
    <w:sig w:usb0="800002BF" w:usb1="18CF7CF8" w:usb2="00000016" w:usb3="00000000" w:csb0="0004000F"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CFBFF0B6"/>
    <w:multiLevelType w:val="singleLevel"/>
    <w:tmpl w:val="CFBFF0B6"/>
    <w:lvl w:ilvl="0" w:tentative="0">
      <w:start w:val="2"/>
      <w:numFmt w:val="chineseCounting"/>
      <w:suff w:val="nothing"/>
      <w:lvlText w:val="（%1）"/>
      <w:lvlJc w:val="left"/>
      <w:rPr>
        <w:rFonts w:hint="eastAsia"/>
      </w:rPr>
    </w:lvl>
  </w:abstractNum>
  <w:abstractNum w:abstractNumId="2">
    <w:nsid w:val="D7B62648"/>
    <w:multiLevelType w:val="singleLevel"/>
    <w:tmpl w:val="D7B62648"/>
    <w:lvl w:ilvl="0" w:tentative="0">
      <w:start w:val="1"/>
      <w:numFmt w:val="chineseCounting"/>
      <w:suff w:val="nothing"/>
      <w:lvlText w:val="（%1）"/>
      <w:lvlJc w:val="left"/>
      <w:rPr>
        <w:rFonts w:hint="eastAsia"/>
      </w:rPr>
    </w:lvl>
  </w:abstractNum>
  <w:abstractNum w:abstractNumId="3">
    <w:nsid w:val="DEBEF323"/>
    <w:multiLevelType w:val="singleLevel"/>
    <w:tmpl w:val="DEBEF323"/>
    <w:lvl w:ilvl="0" w:tentative="0">
      <w:start w:val="4"/>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F2FE539D"/>
    <w:multiLevelType w:val="singleLevel"/>
    <w:tmpl w:val="F2FE539D"/>
    <w:lvl w:ilvl="0" w:tentative="0">
      <w:start w:val="1"/>
      <w:numFmt w:val="decimal"/>
      <w:suff w:val="nothing"/>
      <w:lvlText w:val="（%1）"/>
      <w:lvlJc w:val="left"/>
    </w:lvl>
  </w:abstractNum>
  <w:abstractNum w:abstractNumId="6">
    <w:nsid w:val="FFF674BC"/>
    <w:multiLevelType w:val="singleLevel"/>
    <w:tmpl w:val="FFF674BC"/>
    <w:lvl w:ilvl="0" w:tentative="0">
      <w:start w:val="1"/>
      <w:numFmt w:val="chineseCounting"/>
      <w:suff w:val="nothing"/>
      <w:lvlText w:val="%1、"/>
      <w:lvlJc w:val="left"/>
      <w:rPr>
        <w:rFonts w:hint="eastAsia"/>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8"/>
  </w:num>
  <w:num w:numId="2">
    <w:abstractNumId w:val="7"/>
  </w:num>
  <w:num w:numId="3">
    <w:abstractNumId w:val="0"/>
  </w:num>
  <w:num w:numId="4">
    <w:abstractNumId w:val="4"/>
  </w:num>
  <w:num w:numId="5">
    <w:abstractNumId w:val="6"/>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MDg1ZWMxMDlkOGYzNThmMDEyNjI5YTk3NDIxZD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996F6E"/>
    <w:rsid w:val="0A2032A3"/>
    <w:rsid w:val="0F98263C"/>
    <w:rsid w:val="101860EC"/>
    <w:rsid w:val="10C055FF"/>
    <w:rsid w:val="118107EC"/>
    <w:rsid w:val="13D50BC4"/>
    <w:rsid w:val="16BB723D"/>
    <w:rsid w:val="1BE8440E"/>
    <w:rsid w:val="1D155CEE"/>
    <w:rsid w:val="1F55A178"/>
    <w:rsid w:val="1FF35744"/>
    <w:rsid w:val="23860B96"/>
    <w:rsid w:val="240371BF"/>
    <w:rsid w:val="26727C5E"/>
    <w:rsid w:val="26BE197E"/>
    <w:rsid w:val="29FD04D3"/>
    <w:rsid w:val="2C8A61B5"/>
    <w:rsid w:val="2DB2B053"/>
    <w:rsid w:val="2DF04E50"/>
    <w:rsid w:val="2F040D46"/>
    <w:rsid w:val="319F7F4E"/>
    <w:rsid w:val="3304709D"/>
    <w:rsid w:val="36AA5135"/>
    <w:rsid w:val="376D39B2"/>
    <w:rsid w:val="37E16F03"/>
    <w:rsid w:val="387602DD"/>
    <w:rsid w:val="38D469F0"/>
    <w:rsid w:val="3D98207C"/>
    <w:rsid w:val="3E78745D"/>
    <w:rsid w:val="3EFEC386"/>
    <w:rsid w:val="3FEF714F"/>
    <w:rsid w:val="44E268DA"/>
    <w:rsid w:val="4977D043"/>
    <w:rsid w:val="4A1740FC"/>
    <w:rsid w:val="4A627F82"/>
    <w:rsid w:val="4B0E749A"/>
    <w:rsid w:val="4B4F25DA"/>
    <w:rsid w:val="4BE068DB"/>
    <w:rsid w:val="4D577224"/>
    <w:rsid w:val="4EAB630A"/>
    <w:rsid w:val="4EBBC66F"/>
    <w:rsid w:val="4ECE2238"/>
    <w:rsid w:val="4FFF4A43"/>
    <w:rsid w:val="537E6D0A"/>
    <w:rsid w:val="559B2FF3"/>
    <w:rsid w:val="5AF92295"/>
    <w:rsid w:val="5BE9EF94"/>
    <w:rsid w:val="5CD71FC4"/>
    <w:rsid w:val="5EFD0663"/>
    <w:rsid w:val="5FAF6A87"/>
    <w:rsid w:val="5FFF9DB3"/>
    <w:rsid w:val="6C4A05C8"/>
    <w:rsid w:val="6E7E3605"/>
    <w:rsid w:val="6EF7ECC9"/>
    <w:rsid w:val="6FB24607"/>
    <w:rsid w:val="6FF5CC65"/>
    <w:rsid w:val="715C0E4B"/>
    <w:rsid w:val="72734D90"/>
    <w:rsid w:val="733B22B0"/>
    <w:rsid w:val="73AD73D5"/>
    <w:rsid w:val="73B6EB34"/>
    <w:rsid w:val="744731E5"/>
    <w:rsid w:val="746A12F1"/>
    <w:rsid w:val="74F63F29"/>
    <w:rsid w:val="76E3355F"/>
    <w:rsid w:val="778769C8"/>
    <w:rsid w:val="77FEB8CD"/>
    <w:rsid w:val="79E26656"/>
    <w:rsid w:val="79EE5BA4"/>
    <w:rsid w:val="7A894339"/>
    <w:rsid w:val="7B536F70"/>
    <w:rsid w:val="7BBDAC3F"/>
    <w:rsid w:val="7BE7321D"/>
    <w:rsid w:val="7CEB1C82"/>
    <w:rsid w:val="7DDDC2F8"/>
    <w:rsid w:val="7DE76B1C"/>
    <w:rsid w:val="7DFF2CFD"/>
    <w:rsid w:val="7E6F60A9"/>
    <w:rsid w:val="7EEF11D3"/>
    <w:rsid w:val="7EEFDCDA"/>
    <w:rsid w:val="7F3ED91B"/>
    <w:rsid w:val="7F726369"/>
    <w:rsid w:val="7FA30C79"/>
    <w:rsid w:val="7FB7269E"/>
    <w:rsid w:val="7FBE5705"/>
    <w:rsid w:val="7FC96657"/>
    <w:rsid w:val="7FFEB126"/>
    <w:rsid w:val="7FFFC88D"/>
    <w:rsid w:val="9D5E838D"/>
    <w:rsid w:val="AAF7B55B"/>
    <w:rsid w:val="BB6FA5AB"/>
    <w:rsid w:val="BFF5ED8C"/>
    <w:rsid w:val="D1FDFDFF"/>
    <w:rsid w:val="D8D6DB89"/>
    <w:rsid w:val="D9EB61FA"/>
    <w:rsid w:val="DB6F4CAB"/>
    <w:rsid w:val="DBEFB3CE"/>
    <w:rsid w:val="DD7A0968"/>
    <w:rsid w:val="DF6F9789"/>
    <w:rsid w:val="DFB7F7C1"/>
    <w:rsid w:val="E7FB7ECD"/>
    <w:rsid w:val="E8AA61AC"/>
    <w:rsid w:val="F37E4B3D"/>
    <w:rsid w:val="F7CBE87C"/>
    <w:rsid w:val="F7FD6DED"/>
    <w:rsid w:val="FDDF7017"/>
    <w:rsid w:val="FEDBEFF9"/>
    <w:rsid w:val="FEFC8EE0"/>
    <w:rsid w:val="FEFCEF69"/>
    <w:rsid w:val="FF0496DF"/>
    <w:rsid w:val="FF2F6D6E"/>
    <w:rsid w:val="FF9FB842"/>
    <w:rsid w:val="FFEF9777"/>
    <w:rsid w:val="FFF3B2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2"/>
    <w:semiHidden/>
    <w:unhideWhenUsed/>
    <w:qFormat/>
    <w:uiPriority w:val="99"/>
    <w:rPr>
      <w:sz w:val="18"/>
      <w:szCs w:val="18"/>
    </w:rPr>
  </w:style>
  <w:style w:type="paragraph" w:styleId="9">
    <w:name w:val="footer"/>
    <w:basedOn w:val="1"/>
    <w:next w:val="1"/>
    <w:link w:val="24"/>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widowControl/>
      <w:spacing w:before="100" w:beforeAutospacing="1" w:after="100" w:afterAutospacing="1"/>
      <w:jc w:val="left"/>
    </w:pPr>
    <w:rPr>
      <w:rFonts w:ascii="宋体" w:cs="宋体"/>
      <w:kern w:val="0"/>
      <w:sz w:val="24"/>
    </w:r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99"/>
    <w:rPr>
      <w:b/>
    </w:rPr>
  </w:style>
  <w:style w:type="character" w:styleId="18">
    <w:name w:val="Emphasis"/>
    <w:basedOn w:val="16"/>
    <w:qFormat/>
    <w:uiPriority w:val="20"/>
    <w:rPr>
      <w:i/>
    </w:rPr>
  </w:style>
  <w:style w:type="character" w:styleId="19">
    <w:name w:val="Hyperlink"/>
    <w:basedOn w:val="16"/>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1">
    <w:name w:val="Header Char"/>
    <w:basedOn w:val="16"/>
    <w:semiHidden/>
    <w:qFormat/>
    <w:uiPriority w:val="99"/>
    <w:rPr>
      <w:rFonts w:ascii="Times New Roman" w:hAnsi="Times New Roman"/>
      <w:sz w:val="18"/>
      <w:szCs w:val="18"/>
    </w:rPr>
  </w:style>
  <w:style w:type="character" w:customStyle="1" w:styleId="22">
    <w:name w:val="页眉 Char"/>
    <w:link w:val="10"/>
    <w:semiHidden/>
    <w:qFormat/>
    <w:locked/>
    <w:uiPriority w:val="99"/>
    <w:rPr>
      <w:sz w:val="18"/>
    </w:rPr>
  </w:style>
  <w:style w:type="character" w:customStyle="1" w:styleId="23">
    <w:name w:val="Footer Char"/>
    <w:basedOn w:val="16"/>
    <w:semiHidden/>
    <w:qFormat/>
    <w:uiPriority w:val="99"/>
    <w:rPr>
      <w:rFonts w:ascii="Times New Roman" w:hAnsi="Times New Roman"/>
      <w:sz w:val="18"/>
      <w:szCs w:val="18"/>
    </w:rPr>
  </w:style>
  <w:style w:type="character" w:customStyle="1" w:styleId="24">
    <w:name w:val="页脚 Char"/>
    <w:link w:val="9"/>
    <w:qFormat/>
    <w:locked/>
    <w:uiPriority w:val="99"/>
    <w:rPr>
      <w:sz w:val="18"/>
    </w:rPr>
  </w:style>
  <w:style w:type="character" w:customStyle="1" w:styleId="25">
    <w:name w:val="Body Text Char"/>
    <w:basedOn w:val="16"/>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6"/>
    <w:link w:val="3"/>
    <w:qFormat/>
    <w:uiPriority w:val="9"/>
    <w:rPr>
      <w:rFonts w:ascii="Times New Roman" w:hAnsi="Times New Roman"/>
      <w:b/>
      <w:bCs/>
      <w:kern w:val="44"/>
      <w:sz w:val="44"/>
      <w:szCs w:val="44"/>
    </w:rPr>
  </w:style>
  <w:style w:type="character" w:customStyle="1" w:styleId="30">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6"/>
    <w:link w:val="8"/>
    <w:semiHidden/>
    <w:qFormat/>
    <w:uiPriority w:val="99"/>
    <w:rPr>
      <w:rFonts w:ascii="Times New Roman" w:hAnsi="Times New Roman"/>
      <w:kern w:val="2"/>
      <w:sz w:val="18"/>
      <w:szCs w:val="18"/>
    </w:rPr>
  </w:style>
  <w:style w:type="character" w:customStyle="1" w:styleId="33">
    <w:name w:val="标题 3 Char"/>
    <w:basedOn w:val="16"/>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6">
    <w:name w:val="WPSOffice手动目录 1"/>
    <w:qFormat/>
    <w:uiPriority w:val="0"/>
    <w:pPr>
      <w:ind w:leftChars="0"/>
    </w:pPr>
    <w:rPr>
      <w:rFonts w:asciiTheme="minorHAnsi" w:hAnsiTheme="minorHAnsi" w:eastAsiaTheme="minorEastAsia" w:cstheme="minorBidi"/>
      <w:sz w:val="20"/>
      <w:szCs w:val="20"/>
    </w:rPr>
  </w:style>
  <w:style w:type="paragraph" w:customStyle="1" w:styleId="37">
    <w:name w:val="WPSOffice手动目录 2"/>
    <w:qFormat/>
    <w:uiPriority w:val="0"/>
    <w:pPr>
      <w:ind w:leftChars="200"/>
    </w:pPr>
    <w:rPr>
      <w:rFonts w:asciiTheme="minorHAnsi" w:hAnsiTheme="minorHAnsi" w:eastAsiaTheme="minorEastAsia" w:cstheme="minorBidi"/>
      <w:sz w:val="20"/>
      <w:szCs w:val="20"/>
    </w:rPr>
  </w:style>
  <w:style w:type="character" w:customStyle="1" w:styleId="38">
    <w:name w:val="font61"/>
    <w:basedOn w:val="16"/>
    <w:qFormat/>
    <w:uiPriority w:val="0"/>
    <w:rPr>
      <w:rFonts w:ascii="方正小标宋简体" w:hAnsi="方正小标宋简体" w:eastAsia="方正小标宋简体" w:cs="方正小标宋简体"/>
      <w:b/>
      <w:color w:val="000000"/>
      <w:sz w:val="32"/>
      <w:szCs w:val="32"/>
      <w:u w:val="none"/>
    </w:rPr>
  </w:style>
  <w:style w:type="character" w:customStyle="1" w:styleId="39">
    <w:name w:val="font21"/>
    <w:basedOn w:val="16"/>
    <w:qFormat/>
    <w:uiPriority w:val="0"/>
    <w:rPr>
      <w:rFonts w:hint="eastAsia" w:ascii="宋体" w:hAnsi="宋体" w:eastAsia="宋体" w:cs="宋体"/>
      <w:color w:val="000000"/>
      <w:sz w:val="20"/>
      <w:szCs w:val="20"/>
      <w:u w:val="none"/>
    </w:rPr>
  </w:style>
  <w:style w:type="character" w:customStyle="1" w:styleId="40">
    <w:name w:val="font01"/>
    <w:basedOn w:val="16"/>
    <w:qFormat/>
    <w:uiPriority w:val="0"/>
    <w:rPr>
      <w:rFonts w:ascii="Symbol" w:hAnsi="Symbol" w:cs="Symbol"/>
      <w:color w:val="000000"/>
      <w:sz w:val="20"/>
      <w:szCs w:val="20"/>
      <w:u w:val="none"/>
    </w:rPr>
  </w:style>
  <w:style w:type="character" w:customStyle="1" w:styleId="41">
    <w:name w:val="font51"/>
    <w:basedOn w:val="16"/>
    <w:qFormat/>
    <w:uiPriority w:val="0"/>
    <w:rPr>
      <w:rFonts w:ascii="方正小标宋简体" w:hAnsi="方正小标宋简体" w:eastAsia="方正小标宋简体" w:cs="方正小标宋简体"/>
      <w:b/>
      <w:color w:val="000000"/>
      <w:sz w:val="32"/>
      <w:szCs w:val="32"/>
      <w:u w:val="none"/>
    </w:rPr>
  </w:style>
  <w:style w:type="character" w:customStyle="1" w:styleId="42">
    <w:name w:val="font1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hart" Target="charts/chart7.xml"/><Relationship Id="rId23" Type="http://schemas.openxmlformats.org/officeDocument/2006/relationships/chart" Target="charts/chart6.xml"/><Relationship Id="rId22" Type="http://schemas.openxmlformats.org/officeDocument/2006/relationships/chart" Target="charts/chart5.xml"/><Relationship Id="rId21" Type="http://schemas.openxmlformats.org/officeDocument/2006/relationships/chart" Target="charts/chart4.xml"/><Relationship Id="rId20" Type="http://schemas.openxmlformats.org/officeDocument/2006/relationships/chart" Target="charts/chart3.xml"/><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theme" Target="theme/theme1.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00" b="1" i="0" u="none" strike="noStrike" kern="1200" baseline="0">
                <a:solidFill>
                  <a:schemeClr val="dk1">
                    <a:lumMod val="75000"/>
                    <a:lumOff val="25000"/>
                  </a:schemeClr>
                </a:solidFill>
                <a:latin typeface="+mn-lt"/>
                <a:ea typeface="+mn-ea"/>
                <a:cs typeface="+mn-cs"/>
              </a:defRPr>
            </a:pPr>
            <a:r>
              <a:rPr altLang="zh-CN" sz="1200"/>
              <a:t>收、支决算总计变动情况图（单位：万元）</a:t>
            </a:r>
            <a:endParaRPr altLang="en-US" sz="1200"/>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2021年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c:v>
                </c:pt>
              </c:strCache>
            </c:strRef>
          </c:cat>
          <c:val>
            <c:numRef>
              <c:f>Sheet1!$B$2</c:f>
              <c:numCache>
                <c:formatCode>General</c:formatCode>
                <c:ptCount val="1"/>
                <c:pt idx="0">
                  <c:v>14025.77</c:v>
                </c:pt>
              </c:numCache>
            </c:numRef>
          </c:val>
        </c:ser>
        <c:ser>
          <c:idx val="1"/>
          <c:order val="1"/>
          <c:tx>
            <c:strRef>
              <c:f>Sheet1!$C$1</c:f>
              <c:strCache>
                <c:ptCount val="1"/>
                <c:pt idx="0">
                  <c:v>2022年</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收、支决算总计</c:v>
                </c:pt>
              </c:strCache>
            </c:strRef>
          </c:cat>
          <c:val>
            <c:numRef>
              <c:f>Sheet1!$C$2</c:f>
              <c:numCache>
                <c:formatCode>General</c:formatCode>
                <c:ptCount val="1"/>
                <c:pt idx="0">
                  <c:v>13710.96</c:v>
                </c:pt>
              </c:numCache>
            </c:numRef>
          </c:val>
        </c:ser>
        <c:dLbls>
          <c:showLegendKey val="false"/>
          <c:showVal val="true"/>
          <c:showCatName val="false"/>
          <c:showSerName val="false"/>
          <c:showPercent val="false"/>
          <c:showBubbleSize val="false"/>
        </c:dLbls>
        <c:gapWidth val="246"/>
        <c:overlap val="-28"/>
        <c:axId val="390511772"/>
        <c:axId val="159183424"/>
      </c:barChart>
      <c:catAx>
        <c:axId val="39051177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59183424"/>
        <c:crosses val="autoZero"/>
        <c:auto val="true"/>
        <c:lblAlgn val="ctr"/>
        <c:lblOffset val="100"/>
        <c:noMultiLvlLbl val="false"/>
      </c:catAx>
      <c:valAx>
        <c:axId val="159183424"/>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90511772"/>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200" b="1" i="0" u="none" strike="noStrike" kern="1200" baseline="0">
                <a:solidFill>
                  <a:schemeClr val="dk1">
                    <a:lumMod val="75000"/>
                    <a:lumOff val="25000"/>
                  </a:schemeClr>
                </a:solidFill>
                <a:latin typeface="+mn-lt"/>
                <a:ea typeface="+mn-ea"/>
                <a:cs typeface="+mn-cs"/>
              </a:defRPr>
            </a:pPr>
            <a:r>
              <a:rPr sz="1200"/>
              <a:t>收入决算结构图（单位：万元）</a:t>
            </a:r>
            <a:endParaRPr sz="1200"/>
          </a:p>
        </c:rich>
      </c:tx>
      <c:layout/>
      <c:overlay val="false"/>
      <c:spPr>
        <a:noFill/>
        <a:ln>
          <a:noFill/>
        </a:ln>
        <a:effectLst/>
      </c:spPr>
    </c:title>
    <c:autoTitleDeleted val="false"/>
    <c:plotArea>
      <c:layout/>
      <c:pieChart>
        <c:varyColors val="true"/>
        <c:ser>
          <c:idx val="0"/>
          <c:order val="0"/>
          <c:tx>
            <c:strRef>
              <c:f>Sheet1!$B$1</c:f>
              <c:strCache>
                <c:ptCount val="1"/>
                <c:pt idx="0">
                  <c:v>2022年度收入情况图</c:v>
                </c:pt>
              </c:strCache>
            </c:strRef>
          </c:tx>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Pt>
            <c:idx val="4"/>
            <c:bubble3D val="false"/>
            <c:spPr>
              <a:solidFill>
                <a:schemeClr val="accent5"/>
              </a:solidFill>
              <a:ln>
                <a:solidFill>
                  <a:schemeClr val="bg1"/>
                </a:solidFill>
              </a:ln>
              <a:effectLst/>
            </c:spPr>
          </c:dPt>
          <c:dPt>
            <c:idx val="5"/>
            <c:bubble3D val="false"/>
            <c:spPr>
              <a:solidFill>
                <a:schemeClr val="accent6"/>
              </a:solidFill>
              <a:ln>
                <a:solidFill>
                  <a:schemeClr val="bg1"/>
                </a:solidFill>
              </a:ln>
              <a:effectLst/>
            </c:spPr>
          </c:dPt>
          <c:dPt>
            <c:idx val="6"/>
            <c:bubble3D val="false"/>
            <c:spPr>
              <a:solidFill>
                <a:schemeClr val="accent1">
                  <a:lumMod val="60000"/>
                </a:schemeClr>
              </a:solidFill>
              <a:ln>
                <a:solidFill>
                  <a:schemeClr val="bg1"/>
                </a:solidFill>
              </a:ln>
              <a:effectLst/>
            </c:spPr>
          </c:dPt>
          <c:dPt>
            <c:idx val="7"/>
            <c:bubble3D val="false"/>
            <c:spPr>
              <a:solidFill>
                <a:schemeClr val="accent2">
                  <a:lumMod val="60000"/>
                </a:schemeClr>
              </a:solidFill>
              <a:ln>
                <a:solidFill>
                  <a:schemeClr val="bg1"/>
                </a:solidFill>
              </a:ln>
              <a:effectLst/>
            </c:spPr>
          </c:dPt>
          <c:dLbls>
            <c:dLbl>
              <c:idx val="2"/>
              <c:layout>
                <c:manualLayout>
                  <c:x val="-0.092413626479826"/>
                  <c:y val="-0.0382490437739057"/>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3"/>
              <c:layout>
                <c:manualLayout>
                  <c:x val="0.0833534670210196"/>
                  <c:y val="-0.0382490437739057"/>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4"/>
              <c:layout>
                <c:manualLayout>
                  <c:x val="0.170330997825562"/>
                  <c:y val="-0.0254993625159371"/>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5"/>
              <c:layout>
                <c:manualLayout>
                  <c:x val="0.248248369171297"/>
                  <c:y val="0.00637484062898428"/>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6"/>
              <c:layout>
                <c:manualLayout>
                  <c:x val="-0.181203189176129"/>
                  <c:y val="-0.00956226094347641"/>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7"/>
              <c:layout>
                <c:manualLayout>
                  <c:x val="-0.231940082145446"/>
                  <c:y val="0.0191245218869528"/>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tru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5919.37</c:v>
                </c:pt>
                <c:pt idx="1">
                  <c:v>0</c:v>
                </c:pt>
                <c:pt idx="2">
                  <c:v>0</c:v>
                </c:pt>
                <c:pt idx="3">
                  <c:v>0</c:v>
                </c:pt>
                <c:pt idx="4">
                  <c:v>0</c:v>
                </c:pt>
                <c:pt idx="5">
                  <c:v>0</c:v>
                </c:pt>
                <c:pt idx="6">
                  <c:v>0</c:v>
                </c:pt>
                <c:pt idx="7">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t"/>
      <c:legendEntry>
        <c:idx val="0"/>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7"/>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10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000"/>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rPr sz="1200"/>
              <a:t>支出决算结构图（单位：万元）</a:t>
            </a:r>
            <a:endParaRPr sz="1200"/>
          </a:p>
        </c:rich>
      </c:tx>
      <c:layout>
        <c:manualLayout>
          <c:xMode val="edge"/>
          <c:yMode val="edge"/>
          <c:x val="0.296569219618265"/>
          <c:y val="0.0254993625159371"/>
        </c:manualLayout>
      </c:layout>
      <c:overlay val="false"/>
      <c:spPr>
        <a:noFill/>
        <a:ln>
          <a:noFill/>
        </a:ln>
        <a:effectLst/>
      </c:spPr>
    </c:title>
    <c:autoTitleDeleted val="false"/>
    <c:plotArea>
      <c:layout/>
      <c:pieChart>
        <c:varyColors val="true"/>
        <c:ser>
          <c:idx val="0"/>
          <c:order val="0"/>
          <c:tx>
            <c:strRef>
              <c:f>Sheet1!$B$1</c:f>
              <c:strCache>
                <c:ptCount val="1"/>
                <c:pt idx="0">
                  <c:v>2022年度支出情况图</c:v>
                </c:pt>
              </c:strCache>
            </c:strRef>
          </c:tx>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Pt>
            <c:idx val="4"/>
            <c:bubble3D val="false"/>
            <c:spPr>
              <a:solidFill>
                <a:schemeClr val="accent5"/>
              </a:solidFill>
              <a:ln>
                <a:solidFill>
                  <a:schemeClr val="bg1"/>
                </a:solidFill>
              </a:ln>
              <a:effectLst/>
            </c:spPr>
          </c:dPt>
          <c:dLbls>
            <c:dLbl>
              <c:idx val="3"/>
              <c:layout>
                <c:manualLayout>
                  <c:x val="0.110533945397439"/>
                  <c:y val="0.0127496812579686"/>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4"/>
              <c:layout>
                <c:manualLayout>
                  <c:x val="-0.114158009180962"/>
                  <c:y val="0.0159371015724607"/>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tru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5124.17</c:v>
                </c:pt>
                <c:pt idx="1">
                  <c:v>1479.07</c:v>
                </c:pt>
                <c:pt idx="2">
                  <c:v>0</c:v>
                </c:pt>
                <c:pt idx="3">
                  <c:v>0</c:v>
                </c:pt>
                <c:pt idx="4">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00" b="1" i="0" u="none" strike="noStrike" kern="1200" baseline="0">
                <a:solidFill>
                  <a:schemeClr val="dk1">
                    <a:lumMod val="75000"/>
                    <a:lumOff val="25000"/>
                  </a:schemeClr>
                </a:solidFill>
                <a:latin typeface="+mn-lt"/>
                <a:ea typeface="+mn-ea"/>
                <a:cs typeface="+mn-cs"/>
              </a:defRPr>
            </a:pPr>
            <a:r>
              <a:rPr altLang="zh-CN" sz="1200"/>
              <a:t>财政拨款收、支决算总计变动情况图（单位：万元）</a:t>
            </a:r>
            <a:endParaRPr altLang="en-US" sz="1200"/>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2021年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财政拨款收、支决算总计</c:v>
                </c:pt>
              </c:strCache>
            </c:strRef>
          </c:cat>
          <c:val>
            <c:numRef>
              <c:f>Sheet1!$B$2</c:f>
              <c:numCache>
                <c:formatCode>General</c:formatCode>
                <c:ptCount val="1"/>
                <c:pt idx="0">
                  <c:v>14025.77</c:v>
                </c:pt>
              </c:numCache>
            </c:numRef>
          </c:val>
        </c:ser>
        <c:ser>
          <c:idx val="1"/>
          <c:order val="1"/>
          <c:tx>
            <c:strRef>
              <c:f>Sheet1!$C$1</c:f>
              <c:strCache>
                <c:ptCount val="1"/>
                <c:pt idx="0">
                  <c:v>2022年</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财政拨款收、支决算总计</c:v>
                </c:pt>
              </c:strCache>
            </c:strRef>
          </c:cat>
          <c:val>
            <c:numRef>
              <c:f>Sheet1!$C$2</c:f>
              <c:numCache>
                <c:formatCode>General</c:formatCode>
                <c:ptCount val="1"/>
                <c:pt idx="0">
                  <c:v>13710.96</c:v>
                </c:pt>
              </c:numCache>
            </c:numRef>
          </c:val>
        </c:ser>
        <c:dLbls>
          <c:showLegendKey val="false"/>
          <c:showVal val="true"/>
          <c:showCatName val="false"/>
          <c:showSerName val="false"/>
          <c:showPercent val="false"/>
          <c:showBubbleSize val="false"/>
        </c:dLbls>
        <c:gapWidth val="246"/>
        <c:overlap val="-28"/>
        <c:axId val="390511772"/>
        <c:axId val="159183424"/>
      </c:barChart>
      <c:catAx>
        <c:axId val="39051177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59183424"/>
        <c:crosses val="autoZero"/>
        <c:auto val="true"/>
        <c:lblAlgn val="ctr"/>
        <c:lblOffset val="100"/>
        <c:noMultiLvlLbl val="false"/>
      </c:catAx>
      <c:valAx>
        <c:axId val="159183424"/>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90511772"/>
        <c:crosses val="autoZero"/>
        <c:crossBetween val="between"/>
      </c:valAx>
      <c:spPr>
        <a:noFill/>
        <a:ln>
          <a:noFill/>
        </a:ln>
        <a:effectLst/>
      </c:spPr>
    </c:plotArea>
    <c:legend>
      <c:legendPos val="b"/>
      <c:legendEntry>
        <c:idx val="0"/>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rPr sz="1200"/>
              <a:t>一般公共预算财政拨款支出决算变动情况图（单位：万元）</a:t>
            </a:r>
            <a:endParaRPr sz="1200"/>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2021年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Sheet1!$B$2</c:f>
              <c:numCache>
                <c:formatCode>General</c:formatCode>
                <c:ptCount val="1"/>
                <c:pt idx="0">
                  <c:v>5852.49</c:v>
                </c:pt>
              </c:numCache>
            </c:numRef>
          </c:val>
        </c:ser>
        <c:ser>
          <c:idx val="1"/>
          <c:order val="1"/>
          <c:tx>
            <c:strRef>
              <c:f>Sheet1!$C$1</c:f>
              <c:strCache>
                <c:ptCount val="1"/>
                <c:pt idx="0">
                  <c:v>2022年</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c:v>
                </c:pt>
              </c:strCache>
            </c:strRef>
          </c:cat>
          <c:val>
            <c:numRef>
              <c:f>Sheet1!$C$2</c:f>
              <c:numCache>
                <c:formatCode>General</c:formatCode>
                <c:ptCount val="1"/>
                <c:pt idx="0">
                  <c:v>6603.24</c:v>
                </c:pt>
              </c:numCache>
            </c:numRef>
          </c:val>
        </c:ser>
        <c:dLbls>
          <c:showLegendKey val="false"/>
          <c:showVal val="true"/>
          <c:showCatName val="false"/>
          <c:showSerName val="false"/>
          <c:showPercent val="false"/>
          <c:showBubbleSize val="false"/>
        </c:dLbls>
        <c:gapWidth val="246"/>
        <c:overlap val="-28"/>
        <c:axId val="390400389"/>
        <c:axId val="421578007"/>
      </c:barChart>
      <c:catAx>
        <c:axId val="39040038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21578007"/>
        <c:crosses val="autoZero"/>
        <c:auto val="true"/>
        <c:lblAlgn val="ctr"/>
        <c:lblOffset val="100"/>
        <c:noMultiLvlLbl val="false"/>
      </c:catAx>
      <c:valAx>
        <c:axId val="421578007"/>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90400389"/>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rPr sz="1200"/>
              <a:t>一般公共预算财政拨款支出决算结构图（单位：万元）</a:t>
            </a:r>
            <a:endParaRPr sz="1200"/>
          </a:p>
        </c:rich>
      </c:tx>
      <c:layout/>
      <c:overlay val="false"/>
      <c:spPr>
        <a:noFill/>
        <a:ln>
          <a:noFill/>
        </a:ln>
        <a:effectLst/>
      </c:spPr>
    </c:title>
    <c:autoTitleDeleted val="false"/>
    <c:plotArea>
      <c:layout/>
      <c:pieChart>
        <c:varyColors val="true"/>
        <c:ser>
          <c:idx val="0"/>
          <c:order val="0"/>
          <c:tx>
            <c:strRef>
              <c:f>Sheet1!$B$1</c:f>
              <c:strCache>
                <c:ptCount val="1"/>
                <c:pt idx="0">
                  <c:v>一般公共预算财政拨款支出决算结构图（单位：万元）</c:v>
                </c:pt>
              </c:strCache>
            </c:strRef>
          </c:tx>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Pt>
            <c:idx val="4"/>
            <c:bubble3D val="false"/>
            <c:spPr>
              <a:solidFill>
                <a:schemeClr val="accent5"/>
              </a:solidFill>
              <a:ln>
                <a:solidFill>
                  <a:schemeClr val="bg1"/>
                </a:solidFill>
              </a:ln>
              <a:effectLst/>
            </c:spPr>
          </c:dPt>
          <c:dPt>
            <c:idx val="5"/>
            <c:bubble3D val="false"/>
            <c:spPr>
              <a:solidFill>
                <a:schemeClr val="accent6"/>
              </a:solidFill>
              <a:ln>
                <a:solidFill>
                  <a:schemeClr val="bg1"/>
                </a:solidFill>
              </a:ln>
              <a:effectLst/>
            </c:spPr>
          </c:dPt>
          <c:dPt>
            <c:idx val="6"/>
            <c:bubble3D val="false"/>
            <c:spPr>
              <a:solidFill>
                <a:schemeClr val="accent1">
                  <a:lumMod val="60000"/>
                </a:schemeClr>
              </a:solidFill>
              <a:ln>
                <a:solidFill>
                  <a:schemeClr val="bg1"/>
                </a:solidFill>
              </a:ln>
              <a:effectLst/>
            </c:spPr>
          </c:dPt>
          <c:dLbls>
            <c:dLbl>
              <c:idx val="1"/>
              <c:layout>
                <c:manualLayout>
                  <c:x val="-0.0665156831815465"/>
                  <c:y val="0.0326197170709211"/>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2"/>
              <c:layout>
                <c:manualLayout>
                  <c:x val="-0.0628916193980239"/>
                  <c:y val="-0.00881674701747671"/>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3"/>
              <c:layout>
                <c:manualLayout>
                  <c:x val="-0.0737638107485916"/>
                  <c:y val="0.0899932827317796"/>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4"/>
              <c:layout>
                <c:manualLayout>
                  <c:x val="-0.0127303719026443"/>
                  <c:y val="-0.0148331291446641"/>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5"/>
              <c:layout>
                <c:manualLayout>
                  <c:x val="-0.0122590600454497"/>
                  <c:y val="-0.0399304548930882"/>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6"/>
              <c:layout>
                <c:manualLayout>
                  <c:x val="0.0733004383947084"/>
                  <c:y val="-0.00147859355218258"/>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tru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一般公共服务支出</c:v>
                </c:pt>
                <c:pt idx="1">
                  <c:v>教育支出</c:v>
                </c:pt>
                <c:pt idx="2">
                  <c:v>科学技术支出</c:v>
                </c:pt>
                <c:pt idx="3">
                  <c:v>文化旅游体育与传媒支出</c:v>
                </c:pt>
                <c:pt idx="4">
                  <c:v>社会保障和就业支出</c:v>
                </c:pt>
                <c:pt idx="5">
                  <c:v>卫生健康支出</c:v>
                </c:pt>
                <c:pt idx="6">
                  <c:v>住房保障支出</c:v>
                </c:pt>
              </c:strCache>
            </c:strRef>
          </c:cat>
          <c:val>
            <c:numRef>
              <c:f>Sheet1!$B$2:$B$8</c:f>
              <c:numCache>
                <c:formatCode>General</c:formatCode>
                <c:ptCount val="7"/>
                <c:pt idx="0">
                  <c:v>5634.09</c:v>
                </c:pt>
                <c:pt idx="1">
                  <c:v>0</c:v>
                </c:pt>
                <c:pt idx="2">
                  <c:v>0</c:v>
                </c:pt>
                <c:pt idx="3">
                  <c:v>0</c:v>
                </c:pt>
                <c:pt idx="4">
                  <c:v>406.38</c:v>
                </c:pt>
                <c:pt idx="5">
                  <c:v>202.23</c:v>
                </c:pt>
                <c:pt idx="6">
                  <c:v>360.54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1" i="0" u="none" strike="noStrike" kern="1200" baseline="0">
                <a:solidFill>
                  <a:schemeClr val="dk1">
                    <a:lumMod val="75000"/>
                    <a:lumOff val="25000"/>
                  </a:schemeClr>
                </a:solidFill>
                <a:latin typeface="+mn-lt"/>
                <a:ea typeface="+mn-ea"/>
                <a:cs typeface="+mn-cs"/>
              </a:defRPr>
            </a:pPr>
            <a:r>
              <a:rPr sz="1200"/>
              <a:t>“三公”经费财政拨款支出结构图（单位：万元）</a:t>
            </a:r>
            <a:endParaRPr sz="1200"/>
          </a:p>
        </c:rich>
      </c:tx>
      <c:layout/>
      <c:overlay val="false"/>
      <c:spPr>
        <a:noFill/>
        <a:ln>
          <a:noFill/>
        </a:ln>
        <a:effectLst/>
      </c:spPr>
    </c:title>
    <c:autoTitleDeleted val="false"/>
    <c:plotArea>
      <c:layout/>
      <c:pieChart>
        <c:varyColors val="true"/>
        <c:ser>
          <c:idx val="0"/>
          <c:order val="0"/>
          <c:tx>
            <c:strRef>
              <c:f>Sheet1!$B$1</c:f>
              <c:strCache>
                <c:ptCount val="1"/>
                <c:pt idx="0">
                  <c:v>“三公”经费财政拨款支出结构图（单位：万元）</c:v>
                </c:pt>
              </c:strCache>
            </c:strRef>
          </c:tx>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Lbls>
            <c:dLbl>
              <c:idx val="0"/>
              <c:layout>
                <c:manualLayout>
                  <c:x val="0.13952645566562"/>
                  <c:y val="0.00318742031449214"/>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dLbl>
              <c:idx val="2"/>
              <c:layout>
                <c:manualLayout>
                  <c:x val="-0.0116587209638306"/>
                  <c:y val="0.00492930289468534"/>
                </c:manualLayout>
              </c:layout>
              <c:dLblPos val="bestFit"/>
              <c:showLegendKey val="true"/>
              <c:showVal val="true"/>
              <c:showCatName val="fals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true"/>
            <c:showVal val="tru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因公出国（境）费支出决算</c:v>
                </c:pt>
                <c:pt idx="1">
                  <c:v>公务用车购置及运行维护费支出决算</c:v>
                </c:pt>
                <c:pt idx="2">
                  <c:v>公务接待费支出决算</c:v>
                </c:pt>
              </c:strCache>
            </c:strRef>
          </c:cat>
          <c:val>
            <c:numRef>
              <c:f>Sheet1!$B$2:$B$4</c:f>
              <c:numCache>
                <c:formatCode>General</c:formatCode>
                <c:ptCount val="3"/>
                <c:pt idx="0">
                  <c:v>0</c:v>
                </c:pt>
                <c:pt idx="1">
                  <c:v>124.03</c:v>
                </c:pt>
                <c:pt idx="2">
                  <c:v>2.27</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249</TotalTime>
  <ScaleCrop>false</ScaleCrop>
  <LinksUpToDate>false</LinksUpToDate>
  <CharactersWithSpaces>8692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2020-08-08T17:49:00Z</dcterms:created>
  <dc:creator>曹颖</dc:creator>
  <cp:lastModifiedBy>bubble</cp:lastModifiedBy>
  <cp:lastPrinted>2023-09-29T23:13:00Z</cp:lastPrinted>
  <dcterms:modified xsi:type="dcterms:W3CDTF">2023-10-16T11:02:30Z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29FB599751334F8BA830297672898252_13</vt:lpwstr>
  </property>
</Properties>
</file>