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color w:val="auto"/>
          <w:sz w:val="72"/>
          <w:szCs w:val="72"/>
          <w:highlight w:val="none"/>
        </w:rPr>
      </w:pPr>
    </w:p>
    <w:p>
      <w:pPr>
        <w:overflowPunct/>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color w:val="auto"/>
          <w:sz w:val="72"/>
          <w:szCs w:val="72"/>
          <w:highlight w:val="none"/>
        </w:rPr>
      </w:pPr>
    </w:p>
    <w:p>
      <w:pPr>
        <w:overflowPunct/>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0" w:name="_Toc24153"/>
      <w:bookmarkStart w:id="1" w:name="_Toc15378441"/>
      <w:bookmarkStart w:id="2" w:name="_Toc15396475"/>
      <w:bookmarkStart w:id="3" w:name="_Toc10652"/>
      <w:bookmarkStart w:id="4" w:name="_Toc15396597"/>
      <w:bookmarkStart w:id="5" w:name="_Toc15377425"/>
      <w:bookmarkStart w:id="6" w:name="_Toc15377193"/>
      <w:bookmarkStart w:id="7" w:name="_Toc2488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End w:id="6"/>
      <w:bookmarkEnd w:id="7"/>
    </w:p>
    <w:p>
      <w:pPr>
        <w:overflowPunct/>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color w:val="auto"/>
          <w:sz w:val="72"/>
          <w:szCs w:val="72"/>
          <w:highlight w:val="none"/>
        </w:rPr>
      </w:pPr>
      <w:bookmarkStart w:id="8" w:name="_Toc1206"/>
      <w:bookmarkStart w:id="9" w:name="_Toc125"/>
      <w:bookmarkStart w:id="10" w:name="_Toc15306268"/>
      <w:bookmarkStart w:id="11" w:name="_Toc15378442"/>
      <w:bookmarkStart w:id="12" w:name="_Toc15396476"/>
      <w:bookmarkStart w:id="13" w:name="_Toc15377426"/>
      <w:bookmarkStart w:id="14" w:name="_Toc15396598"/>
      <w:bookmarkStart w:id="15" w:name="_Toc15377194"/>
      <w:bookmarkStart w:id="16" w:name="_Toc30805"/>
      <w:r>
        <w:rPr>
          <w:rFonts w:hint="eastAsia" w:ascii="方正小标宋简体" w:hAnsi="方正小标宋简体" w:eastAsia="方正小标宋简体" w:cs="方正小标宋简体"/>
          <w:color w:val="auto"/>
          <w:sz w:val="72"/>
          <w:szCs w:val="72"/>
          <w:highlight w:val="none"/>
        </w:rPr>
        <w:t>巴中市市场监管综合行政</w:t>
      </w:r>
      <w:bookmarkEnd w:id="8"/>
      <w:bookmarkEnd w:id="9"/>
    </w:p>
    <w:p>
      <w:pPr>
        <w:overflowPunct/>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color w:val="auto"/>
          <w:sz w:val="72"/>
          <w:szCs w:val="72"/>
          <w:highlight w:val="none"/>
        </w:rPr>
      </w:pPr>
      <w:bookmarkStart w:id="17" w:name="_Toc586"/>
      <w:bookmarkStart w:id="18" w:name="_Toc30665"/>
      <w:r>
        <w:rPr>
          <w:rFonts w:hint="eastAsia" w:ascii="方正小标宋简体" w:hAnsi="方正小标宋简体" w:eastAsia="方正小标宋简体" w:cs="方正小标宋简体"/>
          <w:color w:val="auto"/>
          <w:sz w:val="72"/>
          <w:szCs w:val="72"/>
          <w:highlight w:val="none"/>
        </w:rPr>
        <w:t>执法支队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0"/>
      <w:bookmarkEnd w:id="11"/>
      <w:bookmarkEnd w:id="12"/>
      <w:bookmarkEnd w:id="13"/>
      <w:bookmarkEnd w:id="14"/>
      <w:bookmarkEnd w:id="15"/>
      <w:bookmarkEnd w:id="16"/>
      <w:bookmarkEnd w:id="17"/>
      <w:bookmarkEnd w:id="18"/>
    </w:p>
    <w:p>
      <w:pPr>
        <w:overflowPunct/>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color w:val="auto"/>
          <w:sz w:val="72"/>
          <w:szCs w:val="72"/>
          <w:highlight w:val="none"/>
        </w:r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rPr>
          <w:rFonts w:hint="eastAsia" w:ascii="宋体" w:hAnsi="宋体" w:cs="宋体"/>
          <w:snapToGrid w:val="0"/>
          <w:spacing w:val="0"/>
          <w:kern w:val="0"/>
          <w:lang w:eastAsia="zh-CN"/>
        </w:rPr>
      </w:pPr>
      <w:r>
        <w:rPr>
          <w:rFonts w:ascii="宋体" w:hAnsi="宋体" w:eastAsia="方正小标宋简体" w:cs="宋体"/>
          <w:snapToGrid w:val="0"/>
          <w:color w:val="auto"/>
          <w:spacing w:val="0"/>
          <w:kern w:val="0"/>
          <w:sz w:val="36"/>
          <w:szCs w:val="36"/>
          <w:highlight w:val="none"/>
        </w:rPr>
        <w:br w:type="page"/>
      </w:r>
      <w:bookmarkStart w:id="19" w:name="_Toc19869"/>
      <w:bookmarkStart w:id="20" w:name="_Toc17283"/>
      <w:r>
        <w:rPr>
          <w:rFonts w:hint="eastAsia" w:ascii="宋体" w:hAnsi="宋体" w:cs="宋体"/>
          <w:snapToGrid w:val="0"/>
          <w:spacing w:val="0"/>
          <w:kern w:val="0"/>
          <w:lang w:eastAsia="zh-CN"/>
        </w:rPr>
        <w:t>目</w:t>
      </w:r>
      <w:r>
        <w:rPr>
          <w:rFonts w:hint="eastAsia" w:ascii="宋体" w:hAnsi="宋体" w:cs="宋体"/>
          <w:snapToGrid w:val="0"/>
          <w:spacing w:val="0"/>
          <w:kern w:val="0"/>
          <w:lang w:val="en-US" w:eastAsia="zh-CN"/>
        </w:rPr>
        <w:t xml:space="preserve">  </w:t>
      </w:r>
      <w:r>
        <w:rPr>
          <w:rFonts w:hint="eastAsia" w:ascii="宋体" w:hAnsi="宋体" w:cs="宋体"/>
          <w:snapToGrid w:val="0"/>
          <w:spacing w:val="0"/>
          <w:kern w:val="0"/>
          <w:lang w:eastAsia="zh-CN"/>
        </w:rPr>
        <w:t>录</w:t>
      </w:r>
      <w:bookmarkEnd w:id="19"/>
      <w:bookmarkEnd w:id="2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center"/>
        <w:textAlignment w:val="auto"/>
        <w:rPr>
          <w:rFonts w:hint="eastAsia" w:ascii="宋体" w:hAnsi="宋体" w:cs="宋体"/>
          <w:snapToGrid w:val="0"/>
          <w:spacing w:val="0"/>
          <w:kern w:val="0"/>
          <w:sz w:val="28"/>
          <w:szCs w:val="28"/>
          <w:lang w:eastAsia="zh-CN"/>
        </w:rPr>
      </w:pPr>
      <w:r>
        <w:rPr>
          <w:rFonts w:hint="eastAsia" w:ascii="宋体" w:hAnsi="宋体" w:cs="宋体"/>
          <w:snapToGrid w:val="0"/>
          <w:spacing w:val="0"/>
          <w:kern w:val="0"/>
          <w:sz w:val="28"/>
          <w:szCs w:val="28"/>
          <w:lang w:eastAsia="zh-CN"/>
        </w:rPr>
        <w:t>公开时间：2023年10月13日</w:t>
      </w:r>
    </w:p>
    <w:sdt>
      <w:sdtPr>
        <w:rPr>
          <w:rFonts w:ascii="宋体" w:hAnsi="宋体" w:eastAsia="宋体" w:cs="宋体"/>
          <w:kern w:val="2"/>
          <w:sz w:val="21"/>
          <w:szCs w:val="32"/>
          <w:lang w:val="en-US" w:eastAsia="zh-CN" w:bidi="ar-SA"/>
        </w:rPr>
        <w:id w:val="147475641"/>
        <w15:color w:val="DBDBDB"/>
        <w:docPartObj>
          <w:docPartGallery w:val="Table of Contents"/>
          <w:docPartUnique/>
        </w:docPartObj>
      </w:sdtPr>
      <w:sdtEndPr>
        <w:rPr>
          <w:rFonts w:hint="eastAsia" w:ascii="宋体" w:hAnsi="宋体" w:eastAsia="黑体" w:cs="宋体"/>
          <w:b/>
          <w:snapToGrid w:val="0"/>
          <w:spacing w:val="0"/>
          <w:kern w:val="0"/>
          <w:sz w:val="44"/>
          <w:szCs w:val="44"/>
          <w:lang w:val="en-US" w:eastAsia="zh-CN" w:bidi="ar-SA"/>
        </w:rPr>
      </w:sdtEndPr>
      <w:sdtContent>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outlineLvl w:val="9"/>
            <w:rPr>
              <w:rFonts w:hint="eastAsia" w:ascii="宋体" w:hAnsi="宋体" w:eastAsia="仿宋_GB2312" w:cs="宋体"/>
              <w:b/>
              <w:snapToGrid w:val="0"/>
              <w:spacing w:val="0"/>
              <w:kern w:val="0"/>
              <w:sz w:val="28"/>
              <w:szCs w:val="44"/>
              <w:lang w:val="en-US" w:eastAsia="zh-CN" w:bidi="ar-SA"/>
            </w:rPr>
          </w:pPr>
          <w:r>
            <w:rPr>
              <w:rFonts w:hint="eastAsia" w:ascii="宋体" w:hAnsi="宋体" w:eastAsia="仿宋_GB2312" w:cs="宋体"/>
              <w:snapToGrid w:val="0"/>
              <w:spacing w:val="0"/>
              <w:kern w:val="0"/>
              <w:sz w:val="28"/>
              <w:lang w:eastAsia="zh-CN"/>
            </w:rPr>
            <w:fldChar w:fldCharType="begin"/>
          </w:r>
          <w:r>
            <w:rPr>
              <w:rFonts w:hint="eastAsia" w:ascii="宋体" w:hAnsi="宋体" w:eastAsia="仿宋_GB2312" w:cs="宋体"/>
              <w:snapToGrid w:val="0"/>
              <w:spacing w:val="0"/>
              <w:kern w:val="0"/>
              <w:sz w:val="28"/>
              <w:lang w:eastAsia="zh-CN"/>
            </w:rPr>
            <w:instrText xml:space="preserve">TOC \o "1-2" \h \u </w:instrText>
          </w:r>
          <w:r>
            <w:rPr>
              <w:rFonts w:hint="eastAsia" w:ascii="宋体" w:hAnsi="宋体" w:eastAsia="仿宋_GB2312" w:cs="宋体"/>
              <w:snapToGrid w:val="0"/>
              <w:spacing w:val="0"/>
              <w:kern w:val="0"/>
              <w:sz w:val="28"/>
              <w:lang w:eastAsia="zh-CN"/>
            </w:rPr>
            <w:fldChar w:fldCharType="separate"/>
          </w:r>
        </w:p>
        <w:p>
          <w:pPr>
            <w:pStyle w:val="9"/>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0" w:firstLineChars="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_Toc19053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b/>
              <w:bCs/>
              <w:snapToGrid w:val="0"/>
              <w:spacing w:val="0"/>
              <w:kern w:val="0"/>
              <w:sz w:val="24"/>
              <w:szCs w:val="24"/>
              <w:lang w:eastAsia="zh-CN"/>
            </w:rPr>
            <w:t>第一部分 单位概况</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_Toc19053 \h </w:instrText>
          </w:r>
          <w:r>
            <w:rPr>
              <w:rFonts w:ascii="宋体" w:hAnsi="宋体" w:eastAsia="仿宋_GB2312" w:cs="宋体"/>
              <w:sz w:val="24"/>
              <w:szCs w:val="24"/>
            </w:rPr>
            <w:fldChar w:fldCharType="separate"/>
          </w:r>
          <w:r>
            <w:rPr>
              <w:rFonts w:ascii="宋体" w:hAnsi="宋体" w:eastAsia="仿宋_GB2312" w:cs="宋体"/>
              <w:sz w:val="24"/>
              <w:szCs w:val="24"/>
            </w:rPr>
            <w:t>1</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_Toc30410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一、主要职责</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_Toc30410 \h </w:instrText>
          </w:r>
          <w:r>
            <w:rPr>
              <w:rFonts w:ascii="宋体" w:hAnsi="宋体" w:eastAsia="仿宋_GB2312" w:cs="宋体"/>
              <w:sz w:val="24"/>
              <w:szCs w:val="24"/>
            </w:rPr>
            <w:fldChar w:fldCharType="separate"/>
          </w:r>
          <w:r>
            <w:rPr>
              <w:rFonts w:ascii="宋体" w:hAnsi="宋体" w:eastAsia="仿宋_GB2312" w:cs="宋体"/>
              <w:sz w:val="24"/>
              <w:szCs w:val="24"/>
            </w:rPr>
            <w:t>1</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_Toc28731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二、机构设置</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_Toc28731 \h </w:instrText>
          </w:r>
          <w:r>
            <w:rPr>
              <w:rFonts w:ascii="宋体" w:hAnsi="宋体" w:eastAsia="仿宋_GB2312" w:cs="宋体"/>
              <w:sz w:val="24"/>
              <w:szCs w:val="24"/>
            </w:rPr>
            <w:fldChar w:fldCharType="separate"/>
          </w:r>
          <w:r>
            <w:rPr>
              <w:rFonts w:ascii="宋体" w:hAnsi="宋体" w:eastAsia="仿宋_GB2312" w:cs="宋体"/>
              <w:sz w:val="24"/>
              <w:szCs w:val="24"/>
            </w:rPr>
            <w:t>1</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9"/>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0" w:firstLineChars="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_Toc4987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b/>
              <w:bCs/>
              <w:snapToGrid w:val="0"/>
              <w:spacing w:val="0"/>
              <w:kern w:val="0"/>
              <w:sz w:val="24"/>
              <w:szCs w:val="24"/>
              <w:lang w:eastAsia="zh-CN"/>
            </w:rPr>
            <w:t>第二部分 2022年度单位决算情况说明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_Toc4987 \h </w:instrText>
          </w:r>
          <w:r>
            <w:rPr>
              <w:rFonts w:ascii="宋体" w:hAnsi="宋体" w:eastAsia="仿宋_GB2312" w:cs="宋体"/>
              <w:sz w:val="24"/>
              <w:szCs w:val="24"/>
            </w:rPr>
            <w:fldChar w:fldCharType="separate"/>
          </w:r>
          <w:r>
            <w:rPr>
              <w:rFonts w:ascii="宋体" w:hAnsi="宋体" w:eastAsia="仿宋_GB2312" w:cs="宋体"/>
              <w:sz w:val="24"/>
              <w:szCs w:val="24"/>
            </w:rPr>
            <w:t>2</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_Toc6510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一、收入支出决算总体情况说明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_Toc6510 \h </w:instrText>
          </w:r>
          <w:r>
            <w:rPr>
              <w:rFonts w:ascii="宋体" w:hAnsi="宋体" w:eastAsia="仿宋_GB2312" w:cs="宋体"/>
              <w:sz w:val="24"/>
              <w:szCs w:val="24"/>
            </w:rPr>
            <w:fldChar w:fldCharType="separate"/>
          </w:r>
          <w:r>
            <w:rPr>
              <w:rFonts w:ascii="宋体" w:hAnsi="宋体" w:eastAsia="仿宋_GB2312" w:cs="宋体"/>
              <w:sz w:val="24"/>
              <w:szCs w:val="24"/>
            </w:rPr>
            <w:t>2</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_Toc7473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二、收入决算情况说明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_Toc7473 \h </w:instrText>
          </w:r>
          <w:r>
            <w:rPr>
              <w:rFonts w:ascii="宋体" w:hAnsi="宋体" w:eastAsia="仿宋_GB2312" w:cs="宋体"/>
              <w:sz w:val="24"/>
              <w:szCs w:val="24"/>
            </w:rPr>
            <w:fldChar w:fldCharType="separate"/>
          </w:r>
          <w:r>
            <w:rPr>
              <w:rFonts w:ascii="宋体" w:hAnsi="宋体" w:eastAsia="仿宋_GB2312" w:cs="宋体"/>
              <w:sz w:val="24"/>
              <w:szCs w:val="24"/>
            </w:rPr>
            <w:t>2</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_Toc25348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三、支出决算情况说明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_Toc25348 \h </w:instrText>
          </w:r>
          <w:r>
            <w:rPr>
              <w:rFonts w:ascii="宋体" w:hAnsi="宋体" w:eastAsia="仿宋_GB2312" w:cs="宋体"/>
              <w:sz w:val="24"/>
              <w:szCs w:val="24"/>
            </w:rPr>
            <w:fldChar w:fldCharType="separate"/>
          </w:r>
          <w:r>
            <w:rPr>
              <w:rFonts w:ascii="宋体" w:hAnsi="宋体" w:eastAsia="仿宋_GB2312" w:cs="宋体"/>
              <w:sz w:val="24"/>
              <w:szCs w:val="24"/>
            </w:rPr>
            <w:t>3</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_Toc10340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四、财政拨款收入支出决算总体情况说明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_Toc10340 \h </w:instrText>
          </w:r>
          <w:r>
            <w:rPr>
              <w:rFonts w:ascii="宋体" w:hAnsi="宋体" w:eastAsia="仿宋_GB2312" w:cs="宋体"/>
              <w:sz w:val="24"/>
              <w:szCs w:val="24"/>
            </w:rPr>
            <w:fldChar w:fldCharType="separate"/>
          </w:r>
          <w:r>
            <w:rPr>
              <w:rFonts w:ascii="宋体" w:hAnsi="宋体" w:eastAsia="仿宋_GB2312" w:cs="宋体"/>
              <w:sz w:val="24"/>
              <w:szCs w:val="24"/>
            </w:rPr>
            <w:t>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_Toc13608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五、一般公共预算财政拨款支出决算情况说明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_Toc13608 \h </w:instrText>
          </w:r>
          <w:r>
            <w:rPr>
              <w:rFonts w:ascii="宋体" w:hAnsi="宋体" w:eastAsia="仿宋_GB2312" w:cs="宋体"/>
              <w:sz w:val="24"/>
              <w:szCs w:val="24"/>
            </w:rPr>
            <w:fldChar w:fldCharType="separate"/>
          </w:r>
          <w:r>
            <w:rPr>
              <w:rFonts w:ascii="宋体" w:hAnsi="宋体" w:eastAsia="仿宋_GB2312" w:cs="宋体"/>
              <w:sz w:val="24"/>
              <w:szCs w:val="24"/>
            </w:rPr>
            <w:t>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_Toc21474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六、一般公共预算财政拨款基本支出决算情况说明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_Toc21474 \h </w:instrText>
          </w:r>
          <w:r>
            <w:rPr>
              <w:rFonts w:ascii="宋体" w:hAnsi="宋体" w:eastAsia="仿宋_GB2312" w:cs="宋体"/>
              <w:sz w:val="24"/>
              <w:szCs w:val="24"/>
            </w:rPr>
            <w:fldChar w:fldCharType="separate"/>
          </w:r>
          <w:r>
            <w:rPr>
              <w:rFonts w:ascii="宋体" w:hAnsi="宋体" w:eastAsia="仿宋_GB2312" w:cs="宋体"/>
              <w:sz w:val="24"/>
              <w:szCs w:val="24"/>
            </w:rPr>
            <w:t>7</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_Toc21905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七、财政拨款“三公”经费支出决算情况说明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_Toc21905 \h </w:instrText>
          </w:r>
          <w:r>
            <w:rPr>
              <w:rFonts w:ascii="宋体" w:hAnsi="宋体" w:eastAsia="仿宋_GB2312" w:cs="宋体"/>
              <w:sz w:val="24"/>
              <w:szCs w:val="24"/>
            </w:rPr>
            <w:fldChar w:fldCharType="separate"/>
          </w:r>
          <w:r>
            <w:rPr>
              <w:rFonts w:ascii="宋体" w:hAnsi="宋体" w:eastAsia="仿宋_GB2312" w:cs="宋体"/>
              <w:sz w:val="24"/>
              <w:szCs w:val="24"/>
            </w:rPr>
            <w:t>8</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_Toc28702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八、政府性基金预算支出决算情况说明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_Toc28702 \h </w:instrText>
          </w:r>
          <w:r>
            <w:rPr>
              <w:rFonts w:ascii="宋体" w:hAnsi="宋体" w:eastAsia="仿宋_GB2312" w:cs="宋体"/>
              <w:sz w:val="24"/>
              <w:szCs w:val="24"/>
            </w:rPr>
            <w:fldChar w:fldCharType="separate"/>
          </w:r>
          <w:r>
            <w:rPr>
              <w:rFonts w:ascii="宋体" w:hAnsi="宋体" w:eastAsia="仿宋_GB2312" w:cs="宋体"/>
              <w:sz w:val="24"/>
              <w:szCs w:val="24"/>
            </w:rPr>
            <w:t>9</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_Toc22040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九、国有资本经营预算支出决算情况说明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_Toc22040 \h </w:instrText>
          </w:r>
          <w:r>
            <w:rPr>
              <w:rFonts w:ascii="宋体" w:hAnsi="宋体" w:eastAsia="仿宋_GB2312" w:cs="宋体"/>
              <w:sz w:val="24"/>
              <w:szCs w:val="24"/>
            </w:rPr>
            <w:fldChar w:fldCharType="separate"/>
          </w:r>
          <w:r>
            <w:rPr>
              <w:rFonts w:ascii="宋体" w:hAnsi="宋体" w:eastAsia="仿宋_GB2312" w:cs="宋体"/>
              <w:sz w:val="24"/>
              <w:szCs w:val="24"/>
            </w:rPr>
            <w:t>9</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_Toc1529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napToGrid w:val="0"/>
              <w:spacing w:val="0"/>
              <w:kern w:val="0"/>
              <w:sz w:val="24"/>
              <w:szCs w:val="24"/>
              <w:lang w:eastAsia="zh-CN"/>
            </w:rPr>
            <w:t>十、其他重要事项的情况说明</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_Toc1529 \h </w:instrText>
          </w:r>
          <w:r>
            <w:rPr>
              <w:rFonts w:ascii="宋体" w:hAnsi="宋体" w:eastAsia="仿宋_GB2312" w:cs="宋体"/>
              <w:sz w:val="24"/>
              <w:szCs w:val="24"/>
            </w:rPr>
            <w:fldChar w:fldCharType="separate"/>
          </w:r>
          <w:r>
            <w:rPr>
              <w:rFonts w:ascii="宋体" w:hAnsi="宋体" w:eastAsia="仿宋_GB2312" w:cs="宋体"/>
              <w:sz w:val="24"/>
              <w:szCs w:val="24"/>
            </w:rPr>
            <w:t>10</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9"/>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0" w:firstLineChars="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_Toc2269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b/>
              <w:bCs/>
              <w:snapToGrid w:val="0"/>
              <w:spacing w:val="0"/>
              <w:kern w:val="0"/>
              <w:sz w:val="24"/>
              <w:szCs w:val="24"/>
              <w:lang w:eastAsia="zh-CN"/>
            </w:rPr>
            <w:t>第三部分</w:t>
          </w:r>
          <w:r>
            <w:rPr>
              <w:rFonts w:hint="eastAsia" w:ascii="宋体" w:hAnsi="宋体" w:eastAsia="仿宋_GB2312" w:cs="宋体"/>
              <w:b/>
              <w:bCs/>
              <w:snapToGrid w:val="0"/>
              <w:spacing w:val="0"/>
              <w:kern w:val="0"/>
              <w:sz w:val="24"/>
              <w:szCs w:val="24"/>
              <w:lang w:val="en-US" w:eastAsia="zh-CN"/>
            </w:rPr>
            <w:t xml:space="preserve"> </w:t>
          </w:r>
          <w:r>
            <w:rPr>
              <w:rFonts w:hint="eastAsia" w:ascii="宋体" w:hAnsi="宋体" w:eastAsia="仿宋_GB2312" w:cs="宋体"/>
              <w:b/>
              <w:bCs/>
              <w:snapToGrid w:val="0"/>
              <w:spacing w:val="0"/>
              <w:kern w:val="0"/>
              <w:sz w:val="24"/>
              <w:szCs w:val="24"/>
              <w:lang w:eastAsia="zh-CN"/>
            </w:rPr>
            <w:t>名词解释</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_Toc2269 \h </w:instrText>
          </w:r>
          <w:r>
            <w:rPr>
              <w:rFonts w:ascii="宋体" w:hAnsi="宋体" w:eastAsia="仿宋_GB2312" w:cs="宋体"/>
              <w:sz w:val="24"/>
              <w:szCs w:val="24"/>
            </w:rPr>
            <w:fldChar w:fldCharType="separate"/>
          </w:r>
          <w:r>
            <w:rPr>
              <w:rFonts w:ascii="宋体" w:hAnsi="宋体" w:eastAsia="仿宋_GB2312" w:cs="宋体"/>
              <w:sz w:val="24"/>
              <w:szCs w:val="24"/>
            </w:rPr>
            <w:t>12</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9"/>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0" w:firstLineChars="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_Toc24777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b/>
              <w:bCs/>
              <w:snapToGrid w:val="0"/>
              <w:spacing w:val="0"/>
              <w:kern w:val="0"/>
              <w:sz w:val="24"/>
              <w:szCs w:val="24"/>
              <w:lang w:eastAsia="zh-CN"/>
            </w:rPr>
            <w:t>第四部分</w:t>
          </w:r>
          <w:r>
            <w:rPr>
              <w:rFonts w:hint="eastAsia" w:ascii="宋体" w:hAnsi="宋体" w:eastAsia="仿宋_GB2312" w:cs="宋体"/>
              <w:b/>
              <w:bCs/>
              <w:snapToGrid w:val="0"/>
              <w:spacing w:val="0"/>
              <w:kern w:val="0"/>
              <w:sz w:val="24"/>
              <w:szCs w:val="24"/>
              <w:lang w:val="en-US" w:eastAsia="zh-CN"/>
            </w:rPr>
            <w:t xml:space="preserve"> </w:t>
          </w:r>
          <w:r>
            <w:rPr>
              <w:rFonts w:hint="eastAsia" w:ascii="宋体" w:hAnsi="宋体" w:eastAsia="仿宋_GB2312" w:cs="宋体"/>
              <w:b/>
              <w:bCs/>
              <w:snapToGrid w:val="0"/>
              <w:spacing w:val="0"/>
              <w:kern w:val="0"/>
              <w:sz w:val="24"/>
              <w:szCs w:val="24"/>
              <w:lang w:eastAsia="zh-CN"/>
            </w:rPr>
            <w:t>附件</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_Toc24777 \h </w:instrText>
          </w:r>
          <w:r>
            <w:rPr>
              <w:rFonts w:ascii="宋体" w:hAnsi="宋体" w:eastAsia="仿宋_GB2312" w:cs="宋体"/>
              <w:sz w:val="24"/>
              <w:szCs w:val="24"/>
            </w:rPr>
            <w:fldChar w:fldCharType="separate"/>
          </w:r>
          <w:r>
            <w:rPr>
              <w:rFonts w:ascii="宋体" w:hAnsi="宋体" w:eastAsia="仿宋_GB2312" w:cs="宋体"/>
              <w:sz w:val="24"/>
              <w:szCs w:val="24"/>
            </w:rPr>
            <w:t>14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9"/>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0" w:firstLineChars="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_Toc11951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b/>
              <w:bCs/>
              <w:snapToGrid w:val="0"/>
              <w:spacing w:val="0"/>
              <w:kern w:val="0"/>
              <w:sz w:val="24"/>
              <w:szCs w:val="24"/>
              <w:lang w:eastAsia="zh-CN"/>
            </w:rPr>
            <w:t>第五部分</w:t>
          </w:r>
          <w:r>
            <w:rPr>
              <w:rFonts w:hint="eastAsia" w:ascii="宋体" w:hAnsi="宋体" w:eastAsia="仿宋_GB2312" w:cs="宋体"/>
              <w:b/>
              <w:bCs/>
              <w:snapToGrid w:val="0"/>
              <w:spacing w:val="0"/>
              <w:kern w:val="0"/>
              <w:sz w:val="24"/>
              <w:szCs w:val="24"/>
              <w:lang w:val="en-US" w:eastAsia="zh-CN"/>
            </w:rPr>
            <w:t xml:space="preserve"> </w:t>
          </w:r>
          <w:r>
            <w:rPr>
              <w:rFonts w:hint="eastAsia" w:ascii="宋体" w:hAnsi="宋体" w:eastAsia="仿宋_GB2312" w:cs="宋体"/>
              <w:b/>
              <w:bCs/>
              <w:snapToGrid w:val="0"/>
              <w:spacing w:val="0"/>
              <w:kern w:val="0"/>
              <w:sz w:val="24"/>
              <w:szCs w:val="24"/>
              <w:lang w:eastAsia="zh-CN"/>
            </w:rPr>
            <w:t>附表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_Toc11951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_Toc7597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一、收入支出决算总表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_Toc7597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_Toc31124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二、收入决算表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_Toc31124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_Toc4719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三、支出决算表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_Toc4719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_Toc3229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四、财政拨款收入支出决算总表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_Toc3229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_Toc12418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五、财政拨款支出决算明细表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_Toc12418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_Toc11127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六、一般公共预算财政拨款支出决算表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_Toc11127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_Toc27868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七、一般公共预算财政拨款支出决算明细表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_Toc27868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_Toc8015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八、一般公共预算财政拨款基本支出决算表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_Toc8015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_Toc15295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九、一般公共预算财政拨款项目支出决算表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_Toc15295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_Toc17410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十、政府性基金预算财政拨款收入支出决算表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_Toc17410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_Toc26544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十一、国有资本经营预算财政拨款收入支出决算表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_Toc26544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rPr>
              <w:rFonts w:ascii="宋体" w:hAnsi="宋体" w:eastAsia="仿宋_GB2312" w:cs="宋体"/>
              <w:sz w:val="24"/>
              <w:szCs w:val="24"/>
            </w:rPr>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_Toc1974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十二、国有资本经营预算财政拨款支出决算表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_Toc1974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pStyle w:val="10"/>
            <w:keepNext w:val="0"/>
            <w:keepLines w:val="0"/>
            <w:pageBreakBefore w:val="0"/>
            <w:widowControl w:val="0"/>
            <w:tabs>
              <w:tab w:val="right" w:leader="dot" w:pos="8845"/>
            </w:tabs>
            <w:kinsoku/>
            <w:wordWrap/>
            <w:overflowPunct w:val="0"/>
            <w:topLinePunct w:val="0"/>
            <w:autoSpaceDE/>
            <w:autoSpaceDN/>
            <w:bidi w:val="0"/>
            <w:adjustRightInd w:val="0"/>
            <w:snapToGrid w:val="0"/>
            <w:spacing w:line="264" w:lineRule="auto"/>
            <w:ind w:left="0" w:leftChars="0" w:firstLine="480" w:firstLineChars="200"/>
            <w:textAlignment w:val="auto"/>
          </w:pPr>
          <w:r>
            <w:rPr>
              <w:rFonts w:hint="eastAsia" w:ascii="宋体" w:hAnsi="宋体" w:eastAsia="仿宋_GB2312" w:cs="宋体"/>
              <w:snapToGrid w:val="0"/>
              <w:spacing w:val="0"/>
              <w:kern w:val="0"/>
              <w:sz w:val="24"/>
              <w:szCs w:val="24"/>
              <w:lang w:eastAsia="zh-CN"/>
            </w:rPr>
            <w:fldChar w:fldCharType="begin"/>
          </w:r>
          <w:r>
            <w:rPr>
              <w:rFonts w:hint="eastAsia" w:ascii="宋体" w:hAnsi="宋体" w:eastAsia="仿宋_GB2312" w:cs="宋体"/>
              <w:snapToGrid w:val="0"/>
              <w:spacing w:val="0"/>
              <w:kern w:val="0"/>
              <w:sz w:val="24"/>
              <w:szCs w:val="24"/>
              <w:lang w:eastAsia="zh-CN"/>
            </w:rPr>
            <w:instrText xml:space="preserve"> HYPERLINK \l _Toc1315 </w:instrText>
          </w:r>
          <w:r>
            <w:rPr>
              <w:rFonts w:hint="eastAsia" w:ascii="宋体" w:hAnsi="宋体" w:eastAsia="仿宋_GB2312" w:cs="宋体"/>
              <w:snapToGrid w:val="0"/>
              <w:spacing w:val="0"/>
              <w:kern w:val="0"/>
              <w:sz w:val="24"/>
              <w:szCs w:val="24"/>
              <w:lang w:eastAsia="zh-CN"/>
            </w:rPr>
            <w:fldChar w:fldCharType="separate"/>
          </w:r>
          <w:r>
            <w:rPr>
              <w:rFonts w:hint="eastAsia" w:ascii="宋体" w:hAnsi="宋体" w:eastAsia="仿宋_GB2312" w:cs="宋体"/>
              <w:sz w:val="24"/>
              <w:szCs w:val="24"/>
              <w:lang w:eastAsia="zh-CN"/>
            </w:rPr>
            <w:t>十三、财政拨款“三公”经费支出决算表</w:t>
          </w:r>
          <w:r>
            <w:rPr>
              <w:rFonts w:ascii="宋体" w:hAnsi="宋体" w:eastAsia="仿宋_GB2312" w:cs="宋体"/>
              <w:sz w:val="24"/>
              <w:szCs w:val="24"/>
            </w:rPr>
            <w:tab/>
          </w:r>
          <w:r>
            <w:rPr>
              <w:rFonts w:ascii="宋体" w:hAnsi="宋体" w:eastAsia="仿宋_GB2312" w:cs="宋体"/>
              <w:sz w:val="24"/>
              <w:szCs w:val="24"/>
            </w:rPr>
            <w:fldChar w:fldCharType="begin"/>
          </w:r>
          <w:r>
            <w:rPr>
              <w:rFonts w:ascii="宋体" w:hAnsi="宋体" w:eastAsia="仿宋_GB2312" w:cs="宋体"/>
              <w:sz w:val="24"/>
              <w:szCs w:val="24"/>
            </w:rPr>
            <w:instrText xml:space="preserve"> PAGEREF _Toc1315 \h </w:instrText>
          </w:r>
          <w:r>
            <w:rPr>
              <w:rFonts w:ascii="宋体" w:hAnsi="宋体" w:eastAsia="仿宋_GB2312" w:cs="宋体"/>
              <w:sz w:val="24"/>
              <w:szCs w:val="24"/>
            </w:rPr>
            <w:fldChar w:fldCharType="separate"/>
          </w:r>
          <w:r>
            <w:rPr>
              <w:rFonts w:ascii="宋体" w:hAnsi="宋体" w:eastAsia="仿宋_GB2312" w:cs="宋体"/>
              <w:sz w:val="24"/>
              <w:szCs w:val="24"/>
            </w:rPr>
            <w:t>24</w:t>
          </w:r>
          <w:r>
            <w:rPr>
              <w:rFonts w:ascii="宋体" w:hAnsi="宋体" w:eastAsia="仿宋_GB2312" w:cs="宋体"/>
              <w:sz w:val="24"/>
              <w:szCs w:val="24"/>
            </w:rPr>
            <w:fldChar w:fldCharType="end"/>
          </w:r>
          <w:r>
            <w:rPr>
              <w:rFonts w:hint="eastAsia" w:ascii="宋体" w:hAnsi="宋体" w:eastAsia="仿宋_GB2312" w:cs="宋体"/>
              <w:snapToGrid w:val="0"/>
              <w:spacing w:val="0"/>
              <w:kern w:val="0"/>
              <w:sz w:val="24"/>
              <w:szCs w:val="24"/>
              <w:lang w:eastAsia="zh-CN"/>
            </w:rPr>
            <w:fldChar w:fldCharType="end"/>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黑体" w:cs="宋体"/>
              <w:snapToGrid w:val="0"/>
              <w:spacing w:val="0"/>
              <w:kern w:val="0"/>
              <w:lang w:eastAsia="zh-CN"/>
            </w:rPr>
            <w:sectPr>
              <w:pgSz w:w="11906" w:h="16838"/>
              <w:pgMar w:top="2098" w:right="1474" w:bottom="1984" w:left="1587" w:header="850" w:footer="1474" w:gutter="0"/>
              <w:pgBorders>
                <w:top w:val="none" w:sz="0" w:space="0"/>
                <w:left w:val="none" w:sz="0" w:space="0"/>
                <w:bottom w:val="none" w:sz="0" w:space="0"/>
                <w:right w:val="none" w:sz="0" w:space="0"/>
              </w:pgBorders>
              <w:cols w:space="0" w:num="1"/>
              <w:docGrid w:linePitch="312" w:charSpace="0"/>
            </w:sectPr>
          </w:pPr>
          <w:r>
            <w:rPr>
              <w:rFonts w:hint="eastAsia" w:ascii="宋体" w:hAnsi="宋体" w:eastAsia="仿宋_GB2312" w:cs="宋体"/>
              <w:b/>
              <w:snapToGrid w:val="0"/>
              <w:spacing w:val="0"/>
              <w:kern w:val="0"/>
              <w:sz w:val="28"/>
              <w:lang w:eastAsia="zh-CN"/>
            </w:rPr>
            <w:fldChar w:fldCharType="end"/>
          </w:r>
        </w:p>
      </w:sdtContent>
    </w:sdt>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rPr>
          <w:rFonts w:hint="eastAsia" w:ascii="宋体" w:hAnsi="宋体" w:eastAsia="黑体" w:cs="宋体"/>
          <w:snapToGrid w:val="0"/>
          <w:spacing w:val="0"/>
          <w:kern w:val="0"/>
          <w:lang w:eastAsia="zh-CN"/>
        </w:rPr>
      </w:pPr>
      <w:bookmarkStart w:id="21" w:name="_Toc19053"/>
      <w:r>
        <w:rPr>
          <w:rFonts w:hint="eastAsia" w:ascii="宋体" w:hAnsi="宋体" w:eastAsia="黑体" w:cs="宋体"/>
          <w:snapToGrid w:val="0"/>
          <w:spacing w:val="0"/>
          <w:kern w:val="0"/>
          <w:lang w:eastAsia="zh-CN"/>
        </w:rPr>
        <w:t xml:space="preserve">第一部分 </w:t>
      </w:r>
      <w:r>
        <w:rPr>
          <w:rFonts w:hint="eastAsia" w:eastAsia="黑体" w:cs="宋体"/>
          <w:snapToGrid w:val="0"/>
          <w:spacing w:val="0"/>
          <w:kern w:val="0"/>
          <w:lang w:val="en-US" w:eastAsia="zh-CN"/>
        </w:rPr>
        <w:t xml:space="preserve"> </w:t>
      </w:r>
      <w:r>
        <w:rPr>
          <w:rFonts w:hint="eastAsia" w:ascii="宋体" w:hAnsi="宋体" w:eastAsia="黑体" w:cs="宋体"/>
          <w:snapToGrid w:val="0"/>
          <w:spacing w:val="0"/>
          <w:kern w:val="0"/>
          <w:lang w:eastAsia="zh-CN"/>
        </w:rPr>
        <w:t>单位概况</w:t>
      </w:r>
      <w:bookmarkEnd w:id="2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ascii="宋体" w:hAnsi="宋体" w:cs="宋体"/>
          <w:snapToGrid w:val="0"/>
          <w:spacing w:val="0"/>
          <w:kern w:val="0"/>
          <w:lang w:eastAsia="zh-CN"/>
        </w:rPr>
      </w:pPr>
    </w:p>
    <w:p>
      <w:pPr>
        <w:pStyle w:val="4"/>
        <w:bidi w:val="0"/>
        <w:rPr>
          <w:rFonts w:hint="eastAsia"/>
          <w:lang w:eastAsia="zh-CN"/>
        </w:rPr>
      </w:pPr>
      <w:bookmarkStart w:id="22" w:name="_Toc30410"/>
      <w:r>
        <w:rPr>
          <w:rFonts w:hint="eastAsia"/>
          <w:lang w:eastAsia="zh-CN"/>
        </w:rPr>
        <w:t>一、主要职责</w:t>
      </w:r>
      <w:bookmarkEnd w:id="22"/>
    </w:p>
    <w:p>
      <w:pPr>
        <w:bidi w:val="0"/>
        <w:rPr>
          <w:rFonts w:hint="eastAsia"/>
          <w:lang w:eastAsia="zh-CN"/>
        </w:rPr>
      </w:pPr>
      <w:r>
        <w:rPr>
          <w:rFonts w:hint="eastAsia"/>
          <w:lang w:eastAsia="zh-CN"/>
        </w:rPr>
        <w:t>巴中市市场监管综合行政执法支队及各大队主要职责：负责全市市场监管综合行政执法的统筹协调和监督指导；负责市本级工商、质检、食品、药品、物价、商标、专利、盐业综合行政执法工作，依法查处跨区域和有影响的复杂案件、重大案件及省交办的案件；负责全市市场监管综合行政执法计划、措施的组织实施工作；负责落实有关行政执法与刑事司法衔接工作制度和措施；负责市场监管专项整治和食品、药品、特种设备、产品质量等安全事故应急处置、调查处理、问题产品召回等过程中行政执法工作；负责巴中经济开发区市场监管综合行政执法工作；承担市级(含)以上重大活动的餐饮保障工作；完成上级交办的其他工作。</w:t>
      </w:r>
    </w:p>
    <w:p>
      <w:pPr>
        <w:pStyle w:val="4"/>
        <w:bidi w:val="0"/>
        <w:rPr>
          <w:rFonts w:hint="eastAsia"/>
          <w:lang w:eastAsia="zh-CN"/>
        </w:rPr>
      </w:pPr>
      <w:bookmarkStart w:id="23" w:name="_Toc28731"/>
      <w:r>
        <w:rPr>
          <w:rFonts w:hint="eastAsia"/>
          <w:lang w:eastAsia="zh-CN"/>
        </w:rPr>
        <w:t>二、机构设置</w:t>
      </w:r>
      <w:bookmarkEnd w:id="23"/>
    </w:p>
    <w:p>
      <w:pPr>
        <w:bidi w:val="0"/>
        <w:rPr>
          <w:rFonts w:hint="eastAsia"/>
          <w:snapToGrid w:val="0"/>
          <w:color w:val="auto"/>
          <w:spacing w:val="0"/>
          <w:kern w:val="0"/>
          <w:lang w:eastAsia="zh-CN"/>
        </w:rPr>
      </w:pPr>
      <w:r>
        <w:rPr>
          <w:rFonts w:hint="eastAsia" w:ascii="宋体" w:hAnsi="宋体" w:cs="宋体"/>
          <w:snapToGrid w:val="0"/>
          <w:color w:val="auto"/>
          <w:spacing w:val="0"/>
          <w:kern w:val="0"/>
          <w:lang w:eastAsia="zh-CN"/>
        </w:rPr>
        <w:t>根据《中共巴中市委机构编制委员会关于市场监管领域综合行政执法改革机构编制事项的通知》（巴编发</w:t>
      </w:r>
      <w:r>
        <w:rPr>
          <w:rFonts w:hint="eastAsia" w:ascii="宋体" w:hAnsi="宋体" w:eastAsia="宋体" w:cs="宋体"/>
          <w:snapToGrid w:val="0"/>
          <w:color w:val="auto"/>
          <w:spacing w:val="0"/>
          <w:kern w:val="0"/>
          <w:lang w:eastAsia="zh-CN"/>
        </w:rPr>
        <w:t>〔2020〕40</w:t>
      </w:r>
      <w:r>
        <w:rPr>
          <w:rFonts w:hint="eastAsia" w:ascii="宋体" w:hAnsi="宋体" w:cs="宋体"/>
          <w:snapToGrid w:val="0"/>
          <w:color w:val="auto"/>
          <w:spacing w:val="0"/>
          <w:kern w:val="0"/>
          <w:lang w:eastAsia="zh-CN"/>
        </w:rPr>
        <w:t>号）文件，</w:t>
      </w:r>
      <w:r>
        <w:rPr>
          <w:rFonts w:hint="eastAsia"/>
          <w:snapToGrid w:val="0"/>
          <w:color w:val="auto"/>
          <w:spacing w:val="0"/>
          <w:kern w:val="0"/>
          <w:lang w:eastAsia="zh-CN"/>
        </w:rPr>
        <w:t>市市场监管综合行政执法支队内设综合科，设立市市场监管综合行政执法支队直属大队、一大队、二大队、三大队、巴中经济开发区大队，为市执法支队副科级派出机构。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ascii="宋体" w:hAnsi="宋体" w:cs="宋体"/>
          <w:snapToGrid w:val="0"/>
          <w:spacing w:val="0"/>
          <w:kern w:val="0"/>
          <w:lang w:eastAsia="zh-CN"/>
        </w:rPr>
      </w:pPr>
      <w:r>
        <w:rPr>
          <w:rFonts w:hint="eastAsia" w:ascii="宋体" w:hAnsi="宋体" w:cs="宋体"/>
          <w:snapToGrid w:val="0"/>
          <w:spacing w:val="0"/>
          <w:kern w:val="0"/>
          <w:lang w:eastAsia="zh-CN"/>
        </w:rPr>
        <w:br w:type="page"/>
      </w: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rPr>
          <w:rFonts w:hint="eastAsia" w:ascii="宋体" w:hAnsi="宋体" w:eastAsia="黑体" w:cs="宋体"/>
          <w:snapToGrid w:val="0"/>
          <w:spacing w:val="0"/>
          <w:kern w:val="0"/>
          <w:lang w:eastAsia="zh-CN"/>
        </w:rPr>
      </w:pPr>
      <w:bookmarkStart w:id="24" w:name="_Toc4987"/>
      <w:r>
        <w:rPr>
          <w:rFonts w:hint="eastAsia" w:ascii="宋体" w:hAnsi="宋体" w:eastAsia="黑体" w:cs="宋体"/>
          <w:snapToGrid w:val="0"/>
          <w:spacing w:val="0"/>
          <w:kern w:val="0"/>
          <w:lang w:eastAsia="zh-CN"/>
        </w:rPr>
        <w:t>第二部分 2022年度单位决算情况说明</w:t>
      </w:r>
      <w:bookmarkEnd w:id="2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ascii="宋体" w:hAnsi="宋体" w:cs="宋体"/>
          <w:snapToGrid w:val="0"/>
          <w:spacing w:val="0"/>
          <w:kern w:val="0"/>
          <w:lang w:eastAsia="zh-CN"/>
        </w:rPr>
      </w:pPr>
    </w:p>
    <w:p>
      <w:pPr>
        <w:pStyle w:val="4"/>
        <w:bidi w:val="0"/>
        <w:rPr>
          <w:rFonts w:hint="eastAsia"/>
          <w:lang w:eastAsia="zh-CN"/>
        </w:rPr>
      </w:pPr>
      <w:bookmarkStart w:id="25" w:name="_Toc6510"/>
      <w:r>
        <w:rPr>
          <w:rFonts w:hint="eastAsia"/>
          <w:lang w:eastAsia="zh-CN"/>
        </w:rPr>
        <w:t>一、收入支出决算总体情况说明</w:t>
      </w:r>
      <w:bookmarkEnd w:id="25"/>
    </w:p>
    <w:p>
      <w:pPr>
        <w:bidi w:val="0"/>
        <w:rPr>
          <w:rFonts w:hint="eastAsia" w:ascii="宋体" w:hAnsi="宋体" w:cs="宋体"/>
          <w:snapToGrid w:val="0"/>
          <w:spacing w:val="0"/>
          <w:kern w:val="0"/>
          <w:lang w:eastAsia="zh-CN"/>
        </w:rPr>
      </w:pPr>
      <w:r>
        <w:rPr>
          <w:rFonts w:hint="eastAsia" w:ascii="宋体" w:hAnsi="宋体" w:cs="宋体"/>
          <w:snapToGrid w:val="0"/>
          <w:spacing w:val="0"/>
          <w:kern w:val="0"/>
          <w:lang w:eastAsia="zh-CN"/>
        </w:rPr>
        <w:t>202</w:t>
      </w:r>
      <w:r>
        <w:rPr>
          <w:rFonts w:hint="eastAsia" w:cs="宋体"/>
          <w:snapToGrid w:val="0"/>
          <w:spacing w:val="0"/>
          <w:kern w:val="0"/>
          <w:lang w:val="en-US" w:eastAsia="zh-CN"/>
        </w:rPr>
        <w:t>2</w:t>
      </w:r>
      <w:r>
        <w:rPr>
          <w:rFonts w:hint="eastAsia" w:ascii="宋体" w:hAnsi="宋体" w:cs="宋体"/>
          <w:snapToGrid w:val="0"/>
          <w:spacing w:val="0"/>
          <w:kern w:val="0"/>
          <w:lang w:eastAsia="zh-CN"/>
        </w:rPr>
        <w:t>年度实现收入总计</w:t>
      </w:r>
      <w:r>
        <w:rPr>
          <w:rFonts w:hint="eastAsia" w:ascii="宋体" w:hAnsi="宋体" w:cs="宋体"/>
          <w:snapToGrid w:val="0"/>
          <w:spacing w:val="0"/>
          <w:kern w:val="0"/>
          <w:lang w:val="en-US" w:eastAsia="zh-CN"/>
        </w:rPr>
        <w:t>535.93</w:t>
      </w:r>
      <w:r>
        <w:rPr>
          <w:rFonts w:hint="eastAsia" w:ascii="宋体" w:hAnsi="宋体" w:cs="宋体"/>
          <w:snapToGrid w:val="0"/>
          <w:spacing w:val="0"/>
          <w:kern w:val="0"/>
          <w:lang w:eastAsia="zh-CN"/>
        </w:rPr>
        <w:t>万元，支出总计535.93万元。与202</w:t>
      </w:r>
      <w:r>
        <w:rPr>
          <w:rFonts w:hint="eastAsia" w:cs="宋体"/>
          <w:snapToGrid w:val="0"/>
          <w:spacing w:val="0"/>
          <w:kern w:val="0"/>
          <w:lang w:val="en-US" w:eastAsia="zh-CN"/>
        </w:rPr>
        <w:t>1</w:t>
      </w:r>
      <w:r>
        <w:rPr>
          <w:rFonts w:hint="eastAsia" w:ascii="宋体" w:hAnsi="宋体" w:cs="宋体"/>
          <w:snapToGrid w:val="0"/>
          <w:spacing w:val="0"/>
          <w:kern w:val="0"/>
          <w:lang w:eastAsia="zh-CN"/>
        </w:rPr>
        <w:t>年相比，收入总计增加</w:t>
      </w:r>
      <w:r>
        <w:rPr>
          <w:rFonts w:hint="eastAsia" w:cs="宋体"/>
          <w:snapToGrid w:val="0"/>
          <w:spacing w:val="0"/>
          <w:kern w:val="0"/>
          <w:lang w:val="en-US" w:eastAsia="zh-CN"/>
        </w:rPr>
        <w:t>47.01</w:t>
      </w:r>
      <w:r>
        <w:rPr>
          <w:rFonts w:hint="eastAsia" w:ascii="宋体" w:hAnsi="宋体" w:cs="宋体"/>
          <w:snapToGrid w:val="0"/>
          <w:spacing w:val="0"/>
          <w:kern w:val="0"/>
          <w:lang w:eastAsia="zh-CN"/>
        </w:rPr>
        <w:t>万元，增长</w:t>
      </w:r>
      <w:r>
        <w:rPr>
          <w:rFonts w:hint="eastAsia" w:cs="宋体"/>
          <w:snapToGrid w:val="0"/>
          <w:spacing w:val="0"/>
          <w:kern w:val="0"/>
          <w:lang w:val="en-US" w:eastAsia="zh-CN"/>
        </w:rPr>
        <w:t>9.62</w:t>
      </w:r>
      <w:r>
        <w:rPr>
          <w:rFonts w:hint="eastAsia" w:ascii="宋体" w:hAnsi="宋体" w:cs="宋体"/>
          <w:snapToGrid w:val="0"/>
          <w:spacing w:val="0"/>
          <w:kern w:val="0"/>
          <w:lang w:eastAsia="zh-CN"/>
        </w:rPr>
        <w:t>%，支出总计增加</w:t>
      </w:r>
      <w:r>
        <w:rPr>
          <w:rFonts w:hint="eastAsia" w:cs="宋体"/>
          <w:snapToGrid w:val="0"/>
          <w:spacing w:val="0"/>
          <w:kern w:val="0"/>
          <w:lang w:val="en-US" w:eastAsia="zh-CN"/>
        </w:rPr>
        <w:t>47.01</w:t>
      </w:r>
      <w:r>
        <w:rPr>
          <w:rFonts w:hint="eastAsia" w:ascii="宋体" w:hAnsi="宋体" w:cs="宋体"/>
          <w:snapToGrid w:val="0"/>
          <w:spacing w:val="0"/>
          <w:kern w:val="0"/>
          <w:lang w:eastAsia="zh-CN"/>
        </w:rPr>
        <w:t>万元，增长</w:t>
      </w:r>
      <w:r>
        <w:rPr>
          <w:rFonts w:hint="eastAsia" w:cs="宋体"/>
          <w:snapToGrid w:val="0"/>
          <w:spacing w:val="0"/>
          <w:kern w:val="0"/>
          <w:lang w:val="en-US" w:eastAsia="zh-CN"/>
        </w:rPr>
        <w:t>9.62</w:t>
      </w:r>
      <w:r>
        <w:rPr>
          <w:rFonts w:hint="eastAsia" w:ascii="宋体" w:hAnsi="宋体" w:cs="宋体"/>
          <w:snapToGrid w:val="0"/>
          <w:spacing w:val="0"/>
          <w:kern w:val="0"/>
          <w:lang w:eastAsia="zh-CN"/>
        </w:rPr>
        <w:t>%。</w:t>
      </w:r>
      <w:r>
        <w:rPr>
          <w:rFonts w:hint="eastAsia" w:ascii="宋体" w:hAnsi="宋体" w:cs="宋体"/>
          <w:snapToGrid w:val="0"/>
          <w:color w:val="auto"/>
          <w:spacing w:val="0"/>
          <w:kern w:val="0"/>
          <w:highlight w:val="none"/>
          <w:lang w:eastAsia="zh-CN"/>
        </w:rPr>
        <w:t>收入支出增加</w:t>
      </w:r>
      <w:r>
        <w:rPr>
          <w:rFonts w:hint="eastAsia" w:ascii="仿宋" w:hAnsi="仿宋" w:eastAsia="仿宋_GB2312"/>
          <w:snapToGrid w:val="0"/>
          <w:color w:val="auto"/>
          <w:spacing w:val="0"/>
          <w:kern w:val="0"/>
          <w:sz w:val="32"/>
          <w:szCs w:val="32"/>
          <w:highlight w:val="none"/>
          <w:lang w:eastAsia="zh-CN"/>
        </w:rPr>
        <w:t>主要原因是人员工资正常晋级、职务晋升</w:t>
      </w:r>
      <w:r>
        <w:rPr>
          <w:rFonts w:hint="eastAsia" w:ascii="仿宋" w:hAnsi="仿宋"/>
          <w:snapToGrid w:val="0"/>
          <w:color w:val="auto"/>
          <w:spacing w:val="0"/>
          <w:kern w:val="0"/>
          <w:sz w:val="32"/>
          <w:szCs w:val="32"/>
          <w:highlight w:val="none"/>
          <w:lang w:eastAsia="zh-CN"/>
        </w:rPr>
        <w:t>、</w:t>
      </w:r>
      <w:r>
        <w:rPr>
          <w:rFonts w:hint="eastAsia" w:ascii="宋体" w:hAnsi="宋体" w:cs="宋体"/>
          <w:snapToGrid w:val="0"/>
          <w:color w:val="auto"/>
          <w:spacing w:val="0"/>
          <w:kern w:val="0"/>
          <w:highlight w:val="none"/>
          <w:lang w:eastAsia="zh-CN"/>
        </w:rPr>
        <w:t>发放了职工基础绩效</w:t>
      </w:r>
      <w:r>
        <w:rPr>
          <w:rFonts w:hint="eastAsia" w:cs="宋体"/>
          <w:snapToGrid w:val="0"/>
          <w:color w:val="auto"/>
          <w:spacing w:val="0"/>
          <w:kern w:val="0"/>
          <w:highlight w:val="none"/>
          <w:lang w:eastAsia="zh-CN"/>
        </w:rPr>
        <w:t>，公用经费投入进一步加强，强化公用支出的支付力度</w:t>
      </w:r>
      <w:r>
        <w:rPr>
          <w:rFonts w:hint="eastAsia" w:ascii="宋体" w:hAnsi="宋体" w:cs="宋体"/>
          <w:snapToGrid w:val="0"/>
          <w:color w:val="auto"/>
          <w:spacing w:val="0"/>
          <w:kern w:val="0"/>
          <w:highlight w:val="none"/>
          <w:lang w:eastAsia="zh-CN"/>
        </w:rPr>
        <w:t>等</w:t>
      </w:r>
      <w:r>
        <w:rPr>
          <w:rFonts w:hint="eastAsia" w:cs="宋体"/>
          <w:snapToGrid w:val="0"/>
          <w:color w:val="auto"/>
          <w:spacing w:val="0"/>
          <w:kern w:val="0"/>
          <w:highlight w:val="none"/>
          <w:lang w:eastAsia="zh-CN"/>
        </w:rPr>
        <w:t>。</w:t>
      </w:r>
    </w:p>
    <w:p>
      <w:pPr>
        <w:pStyle w:val="4"/>
        <w:bidi w:val="0"/>
        <w:rPr>
          <w:rFonts w:hint="eastAsia"/>
          <w:snapToGrid w:val="0"/>
          <w:spacing w:val="0"/>
          <w:kern w:val="0"/>
          <w:lang w:eastAsia="zh-CN"/>
        </w:rPr>
      </w:pPr>
      <w:bookmarkStart w:id="26" w:name="_Toc7473"/>
      <w:r>
        <w:rPr>
          <w:rFonts w:hint="eastAsia" w:ascii="仿宋" w:hAnsi="仿宋" w:eastAsia="仿宋"/>
          <w:snapToGrid w:val="0"/>
          <w:color w:val="000000"/>
          <w:spacing w:val="0"/>
          <w:kern w:val="0"/>
          <w:sz w:val="32"/>
          <w:szCs w:val="32"/>
          <w:lang w:eastAsia="zh-CN"/>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4879975" cy="2555875"/>
            <wp:effectExtent l="4445" t="4445" r="11430"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snapToGrid w:val="0"/>
          <w:spacing w:val="0"/>
          <w:kern w:val="0"/>
          <w:lang w:eastAsia="zh-CN"/>
        </w:rPr>
        <w:t>二、收入决算情况说明</w:t>
      </w:r>
      <w:bookmarkEnd w:id="26"/>
    </w:p>
    <w:p>
      <w:pPr>
        <w:bidi w:val="0"/>
        <w:rPr>
          <w:rFonts w:hint="eastAsia"/>
          <w:lang w:eastAsia="zh-CN"/>
        </w:rPr>
      </w:pPr>
      <w:r>
        <w:rPr>
          <w:rFonts w:hint="eastAsia"/>
          <w:lang w:eastAsia="zh-CN"/>
        </w:rPr>
        <w:t>2022年本年收入合计528.34万元，其中：一般公共预算财政拨款收入528.34万元，占</w:t>
      </w:r>
      <w:r>
        <w:rPr>
          <w:rFonts w:hint="eastAsia"/>
          <w:lang w:val="en-US" w:eastAsia="zh-CN"/>
        </w:rPr>
        <w:t>100</w:t>
      </w:r>
      <w:r>
        <w:rPr>
          <w:rFonts w:hint="eastAsia"/>
          <w:lang w:eastAsia="zh-CN"/>
        </w:rPr>
        <w:t>%；政府性基金预算财政拨款收入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%；国有资本经营预算财政拨款收入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%；上级补助收入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%；事业收入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%；经营收入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%；附属单位上缴收入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%；其他收入</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w:t>
      </w:r>
    </w:p>
    <w:p>
      <w:pPr>
        <w:pStyle w:val="4"/>
        <w:bidi w:val="0"/>
        <w:rPr>
          <w:rFonts w:hint="eastAsia"/>
          <w:snapToGrid w:val="0"/>
          <w:spacing w:val="0"/>
          <w:kern w:val="0"/>
          <w:lang w:eastAsia="zh-CN"/>
        </w:rPr>
      </w:pPr>
      <w:bookmarkStart w:id="27" w:name="_Toc25348"/>
      <w:r>
        <w:rPr>
          <w:rFonts w:hint="eastAsia" w:eastAsia="仿宋"/>
          <w:snapToGrid w:val="0"/>
          <w:spacing w:val="0"/>
          <w:kern w:val="0"/>
          <w:lang w:eastAsia="zh-CN"/>
        </w:rPr>
        <w:drawing>
          <wp:anchor distT="0" distB="125730" distL="114935" distR="114935" simplePos="0" relativeHeight="251662336" behindDoc="0" locked="0" layoutInCell="1" allowOverlap="1">
            <wp:simplePos x="0" y="0"/>
            <wp:positionH relativeFrom="margin">
              <wp:align>center</wp:align>
            </wp:positionH>
            <wp:positionV relativeFrom="margin">
              <wp:align>top</wp:align>
            </wp:positionV>
            <wp:extent cx="5253355" cy="2844165"/>
            <wp:effectExtent l="4445" t="4445" r="19050" b="889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snapToGrid w:val="0"/>
          <w:spacing w:val="0"/>
          <w:kern w:val="0"/>
          <w:lang w:eastAsia="zh-CN"/>
        </w:rPr>
        <w:t>三、支出决算情况说明</w:t>
      </w:r>
      <w:bookmarkEnd w:id="27"/>
    </w:p>
    <w:p>
      <w:pPr>
        <w:bidi w:val="0"/>
        <w:rPr>
          <w:rFonts w:hint="eastAsia" w:ascii="宋体" w:hAnsi="宋体" w:cs="宋体"/>
          <w:snapToGrid w:val="0"/>
          <w:spacing w:val="0"/>
          <w:kern w:val="0"/>
          <w:lang w:eastAsia="zh-CN"/>
        </w:rPr>
      </w:pPr>
      <w:r>
        <w:rPr>
          <w:rFonts w:hint="eastAsia" w:ascii="仿宋" w:hAnsi="仿宋" w:eastAsia="仿宋"/>
          <w:snapToGrid w:val="0"/>
          <w:color w:val="auto"/>
          <w:spacing w:val="0"/>
          <w:kern w:val="0"/>
          <w:sz w:val="32"/>
          <w:szCs w:val="32"/>
          <w:highlight w:val="none"/>
          <w:lang w:eastAsia="zh-CN"/>
        </w:rPr>
        <w:drawing>
          <wp:anchor distT="0" distB="125730" distL="114935" distR="114935" simplePos="0" relativeHeight="251661312" behindDoc="0" locked="0" layoutInCell="1" allowOverlap="0">
            <wp:simplePos x="0" y="0"/>
            <wp:positionH relativeFrom="margin">
              <wp:posOffset>78740</wp:posOffset>
            </wp:positionH>
            <wp:positionV relativeFrom="paragraph">
              <wp:posOffset>1597025</wp:posOffset>
            </wp:positionV>
            <wp:extent cx="5457825" cy="3111500"/>
            <wp:effectExtent l="4445" t="4445" r="5080" b="82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宋体" w:hAnsi="宋体" w:cs="宋体"/>
          <w:snapToGrid w:val="0"/>
          <w:spacing w:val="0"/>
          <w:kern w:val="0"/>
          <w:lang w:eastAsia="zh-CN"/>
        </w:rPr>
        <w:t>2022年本年支出合计535.93万元，其中：基本支出451.84万元，占</w:t>
      </w:r>
      <w:r>
        <w:rPr>
          <w:rFonts w:hint="eastAsia" w:cs="宋体"/>
          <w:snapToGrid w:val="0"/>
          <w:spacing w:val="0"/>
          <w:kern w:val="0"/>
          <w:lang w:val="en-US" w:eastAsia="zh-CN"/>
        </w:rPr>
        <w:t>84.31</w:t>
      </w:r>
      <w:r>
        <w:rPr>
          <w:rFonts w:hint="eastAsia" w:ascii="宋体" w:hAnsi="宋体" w:cs="宋体"/>
          <w:snapToGrid w:val="0"/>
          <w:spacing w:val="0"/>
          <w:kern w:val="0"/>
          <w:lang w:eastAsia="zh-CN"/>
        </w:rPr>
        <w:t>%；项目支出84.09万元，占</w:t>
      </w:r>
      <w:r>
        <w:rPr>
          <w:rFonts w:hint="eastAsia" w:cs="宋体"/>
          <w:snapToGrid w:val="0"/>
          <w:spacing w:val="0"/>
          <w:kern w:val="0"/>
          <w:lang w:val="en-US" w:eastAsia="zh-CN"/>
        </w:rPr>
        <w:t>15.69</w:t>
      </w:r>
      <w:r>
        <w:rPr>
          <w:rFonts w:hint="eastAsia" w:ascii="宋体" w:hAnsi="宋体" w:cs="宋体"/>
          <w:snapToGrid w:val="0"/>
          <w:spacing w:val="0"/>
          <w:kern w:val="0"/>
          <w:lang w:eastAsia="zh-CN"/>
        </w:rPr>
        <w:t>%</w:t>
      </w:r>
      <w:r>
        <w:rPr>
          <w:rFonts w:hint="eastAsia" w:cs="宋体"/>
          <w:snapToGrid w:val="0"/>
          <w:spacing w:val="0"/>
          <w:kern w:val="0"/>
          <w:lang w:val="en-US" w:eastAsia="zh-CN"/>
        </w:rPr>
        <w:t>；</w:t>
      </w:r>
      <w:r>
        <w:rPr>
          <w:rFonts w:hint="eastAsia" w:ascii="仿宋" w:hAnsi="仿宋" w:eastAsia="仿宋_GB2312"/>
          <w:snapToGrid w:val="0"/>
          <w:color w:val="auto"/>
          <w:spacing w:val="0"/>
          <w:kern w:val="0"/>
          <w:sz w:val="32"/>
          <w:szCs w:val="32"/>
          <w:highlight w:val="none"/>
        </w:rPr>
        <w:t>上缴上级支出</w:t>
      </w:r>
      <w:r>
        <w:rPr>
          <w:rFonts w:hint="eastAsia" w:ascii="仿宋" w:hAnsi="仿宋" w:eastAsia="仿宋_GB2312"/>
          <w:snapToGrid w:val="0"/>
          <w:color w:val="auto"/>
          <w:spacing w:val="0"/>
          <w:kern w:val="0"/>
          <w:sz w:val="32"/>
          <w:szCs w:val="32"/>
          <w:highlight w:val="none"/>
          <w:lang w:val="en-US" w:eastAsia="zh-CN"/>
        </w:rPr>
        <w:t>0</w:t>
      </w:r>
      <w:r>
        <w:rPr>
          <w:rFonts w:hint="eastAsia" w:ascii="仿宋" w:hAnsi="仿宋" w:eastAsia="仿宋_GB2312"/>
          <w:snapToGrid w:val="0"/>
          <w:color w:val="auto"/>
          <w:spacing w:val="0"/>
          <w:kern w:val="0"/>
          <w:sz w:val="32"/>
          <w:szCs w:val="32"/>
          <w:highlight w:val="none"/>
        </w:rPr>
        <w:t>万元，占</w:t>
      </w:r>
      <w:r>
        <w:rPr>
          <w:rFonts w:hint="eastAsia" w:ascii="仿宋" w:hAnsi="仿宋" w:eastAsia="仿宋_GB2312"/>
          <w:snapToGrid w:val="0"/>
          <w:color w:val="auto"/>
          <w:spacing w:val="0"/>
          <w:kern w:val="0"/>
          <w:sz w:val="32"/>
          <w:szCs w:val="32"/>
          <w:highlight w:val="none"/>
          <w:lang w:val="en-US" w:eastAsia="zh-CN"/>
        </w:rPr>
        <w:t>0</w:t>
      </w:r>
      <w:r>
        <w:rPr>
          <w:rFonts w:ascii="仿宋" w:hAnsi="仿宋" w:eastAsia="仿宋_GB2312"/>
          <w:snapToGrid w:val="0"/>
          <w:color w:val="auto"/>
          <w:spacing w:val="0"/>
          <w:kern w:val="0"/>
          <w:sz w:val="32"/>
          <w:szCs w:val="32"/>
          <w:highlight w:val="none"/>
        </w:rPr>
        <w:t>%</w:t>
      </w:r>
      <w:r>
        <w:rPr>
          <w:rFonts w:hint="eastAsia" w:ascii="仿宋" w:hAnsi="仿宋" w:eastAsia="仿宋_GB2312"/>
          <w:snapToGrid w:val="0"/>
          <w:color w:val="auto"/>
          <w:spacing w:val="0"/>
          <w:kern w:val="0"/>
          <w:sz w:val="32"/>
          <w:szCs w:val="32"/>
          <w:highlight w:val="none"/>
        </w:rPr>
        <w:t>；经营支出</w:t>
      </w:r>
      <w:r>
        <w:rPr>
          <w:rFonts w:hint="eastAsia" w:ascii="仿宋" w:hAnsi="仿宋" w:eastAsia="仿宋_GB2312"/>
          <w:snapToGrid w:val="0"/>
          <w:color w:val="auto"/>
          <w:spacing w:val="0"/>
          <w:kern w:val="0"/>
          <w:sz w:val="32"/>
          <w:szCs w:val="32"/>
          <w:highlight w:val="none"/>
          <w:lang w:val="en-US" w:eastAsia="zh-CN"/>
        </w:rPr>
        <w:t>0</w:t>
      </w:r>
      <w:r>
        <w:rPr>
          <w:rFonts w:hint="eastAsia" w:ascii="仿宋" w:hAnsi="仿宋" w:eastAsia="仿宋_GB2312"/>
          <w:snapToGrid w:val="0"/>
          <w:color w:val="auto"/>
          <w:spacing w:val="0"/>
          <w:kern w:val="0"/>
          <w:sz w:val="32"/>
          <w:szCs w:val="32"/>
          <w:highlight w:val="none"/>
        </w:rPr>
        <w:t>万元，占</w:t>
      </w:r>
      <w:r>
        <w:rPr>
          <w:rFonts w:hint="eastAsia" w:ascii="仿宋" w:hAnsi="仿宋" w:eastAsia="仿宋_GB2312"/>
          <w:snapToGrid w:val="0"/>
          <w:color w:val="auto"/>
          <w:spacing w:val="0"/>
          <w:kern w:val="0"/>
          <w:sz w:val="32"/>
          <w:szCs w:val="32"/>
          <w:highlight w:val="none"/>
          <w:lang w:val="en-US" w:eastAsia="zh-CN"/>
        </w:rPr>
        <w:t>0</w:t>
      </w:r>
      <w:r>
        <w:rPr>
          <w:rFonts w:ascii="仿宋" w:hAnsi="仿宋" w:eastAsia="仿宋_GB2312"/>
          <w:snapToGrid w:val="0"/>
          <w:color w:val="auto"/>
          <w:spacing w:val="0"/>
          <w:kern w:val="0"/>
          <w:sz w:val="32"/>
          <w:szCs w:val="32"/>
          <w:highlight w:val="none"/>
        </w:rPr>
        <w:t>%</w:t>
      </w:r>
      <w:r>
        <w:rPr>
          <w:rFonts w:hint="eastAsia" w:ascii="仿宋" w:hAnsi="仿宋" w:eastAsia="仿宋_GB2312"/>
          <w:snapToGrid w:val="0"/>
          <w:color w:val="auto"/>
          <w:spacing w:val="0"/>
          <w:kern w:val="0"/>
          <w:sz w:val="32"/>
          <w:szCs w:val="32"/>
          <w:highlight w:val="none"/>
        </w:rPr>
        <w:t>；对附属单位补助支出</w:t>
      </w:r>
      <w:r>
        <w:rPr>
          <w:rFonts w:hint="eastAsia" w:ascii="仿宋" w:hAnsi="仿宋" w:eastAsia="仿宋_GB2312"/>
          <w:snapToGrid w:val="0"/>
          <w:color w:val="auto"/>
          <w:spacing w:val="0"/>
          <w:kern w:val="0"/>
          <w:sz w:val="32"/>
          <w:szCs w:val="32"/>
          <w:highlight w:val="none"/>
          <w:lang w:val="en-US" w:eastAsia="zh-CN"/>
        </w:rPr>
        <w:t>0</w:t>
      </w:r>
      <w:r>
        <w:rPr>
          <w:rFonts w:hint="eastAsia" w:ascii="仿宋" w:hAnsi="仿宋" w:eastAsia="仿宋_GB2312"/>
          <w:snapToGrid w:val="0"/>
          <w:color w:val="auto"/>
          <w:spacing w:val="0"/>
          <w:kern w:val="0"/>
          <w:sz w:val="32"/>
          <w:szCs w:val="32"/>
          <w:highlight w:val="none"/>
        </w:rPr>
        <w:t>万元，占</w:t>
      </w:r>
      <w:r>
        <w:rPr>
          <w:rFonts w:hint="eastAsia" w:ascii="仿宋" w:hAnsi="仿宋" w:eastAsia="仿宋_GB2312"/>
          <w:snapToGrid w:val="0"/>
          <w:color w:val="auto"/>
          <w:spacing w:val="0"/>
          <w:kern w:val="0"/>
          <w:sz w:val="32"/>
          <w:szCs w:val="32"/>
          <w:highlight w:val="none"/>
          <w:lang w:val="en-US" w:eastAsia="zh-CN"/>
        </w:rPr>
        <w:t>0</w:t>
      </w:r>
      <w:r>
        <w:rPr>
          <w:rFonts w:ascii="仿宋" w:hAnsi="仿宋" w:eastAsia="仿宋_GB2312"/>
          <w:snapToGrid w:val="0"/>
          <w:color w:val="auto"/>
          <w:spacing w:val="0"/>
          <w:kern w:val="0"/>
          <w:sz w:val="32"/>
          <w:szCs w:val="32"/>
          <w:highlight w:val="none"/>
        </w:rPr>
        <w:t>%</w:t>
      </w:r>
      <w:r>
        <w:rPr>
          <w:rFonts w:hint="eastAsia" w:ascii="宋体" w:hAnsi="宋体" w:cs="宋体"/>
          <w:snapToGrid w:val="0"/>
          <w:spacing w:val="0"/>
          <w:kern w:val="0"/>
          <w:lang w:eastAsia="zh-CN"/>
        </w:rPr>
        <w:t>。</w:t>
      </w:r>
    </w:p>
    <w:p>
      <w:pPr>
        <w:pStyle w:val="4"/>
        <w:bidi w:val="0"/>
        <w:rPr>
          <w:rFonts w:hint="eastAsia"/>
          <w:lang w:eastAsia="zh-CN"/>
        </w:rPr>
      </w:pPr>
      <w:bookmarkStart w:id="28" w:name="_Toc10340"/>
      <w:r>
        <w:rPr>
          <w:rFonts w:hint="eastAsia"/>
          <w:lang w:eastAsia="zh-CN"/>
        </w:rPr>
        <w:t>四、财政拨款收入支出决算总体情况说明</w:t>
      </w:r>
      <w:bookmarkEnd w:id="28"/>
    </w:p>
    <w:p>
      <w:pPr>
        <w:bidi w:val="0"/>
        <w:rPr>
          <w:rFonts w:hint="eastAsia"/>
          <w:lang w:eastAsia="zh-CN"/>
        </w:rPr>
      </w:pPr>
      <w:bookmarkStart w:id="29" w:name="_Toc9734"/>
      <w:r>
        <w:t>202</w:t>
      </w:r>
      <w:r>
        <w:rPr>
          <w:rFonts w:hint="eastAsia"/>
          <w:lang w:val="en-US" w:eastAsia="zh-CN"/>
        </w:rPr>
        <w:t>2</w:t>
      </w:r>
      <w:r>
        <w:rPr>
          <w:rFonts w:hint="eastAsia"/>
        </w:rPr>
        <w:t>年度</w:t>
      </w:r>
      <w:r>
        <w:rPr>
          <w:rFonts w:hint="eastAsia"/>
          <w:lang w:eastAsia="zh-CN"/>
        </w:rPr>
        <w:t>财政拨款收入总计</w:t>
      </w:r>
      <w:r>
        <w:rPr>
          <w:rFonts w:hint="eastAsia"/>
          <w:lang w:val="en-US" w:eastAsia="zh-CN"/>
        </w:rPr>
        <w:t>535.93万元，</w:t>
      </w:r>
      <w:r>
        <w:rPr>
          <w:rFonts w:hint="eastAsia"/>
          <w:lang w:eastAsia="zh-CN"/>
        </w:rPr>
        <w:t>财政拨款</w:t>
      </w:r>
      <w:r>
        <w:rPr>
          <w:rFonts w:hint="eastAsia"/>
          <w:lang w:val="en-US" w:eastAsia="zh-CN"/>
        </w:rPr>
        <w:t>支出总计535.93万元</w:t>
      </w:r>
      <w:r>
        <w:rPr>
          <w:rFonts w:hint="eastAsia"/>
        </w:rPr>
        <w:t>。与</w:t>
      </w:r>
      <w:r>
        <w:t>20</w:t>
      </w:r>
      <w:r>
        <w:rPr>
          <w:rFonts w:hint="eastAsia"/>
          <w:lang w:val="en-US" w:eastAsia="zh-CN"/>
        </w:rPr>
        <w:t>21</w:t>
      </w:r>
      <w:r>
        <w:rPr>
          <w:rFonts w:hint="eastAsia"/>
        </w:rPr>
        <w:t>年相比，</w:t>
      </w:r>
      <w:r>
        <w:rPr>
          <w:rFonts w:hint="eastAsia"/>
          <w:lang w:eastAsia="zh-CN"/>
        </w:rPr>
        <w:t>财政拨款</w:t>
      </w:r>
      <w:r>
        <w:rPr>
          <w:rFonts w:hint="eastAsia"/>
        </w:rPr>
        <w:t>收</w:t>
      </w:r>
      <w:r>
        <w:rPr>
          <w:rFonts w:hint="eastAsia"/>
          <w:lang w:eastAsia="zh-CN"/>
        </w:rPr>
        <w:t>入总计增加</w:t>
      </w:r>
      <w:r>
        <w:rPr>
          <w:rFonts w:hint="eastAsia"/>
          <w:lang w:val="en-US" w:eastAsia="zh-CN"/>
        </w:rPr>
        <w:t>47.01万元，增长9.62%，</w:t>
      </w:r>
      <w:r>
        <w:rPr>
          <w:rFonts w:hint="eastAsia"/>
          <w:lang w:eastAsia="zh-CN"/>
        </w:rPr>
        <w:t>财政拨款</w:t>
      </w:r>
      <w:r>
        <w:rPr>
          <w:rFonts w:hint="eastAsia"/>
        </w:rPr>
        <w:t>支</w:t>
      </w:r>
      <w:r>
        <w:rPr>
          <w:rFonts w:hint="eastAsia"/>
          <w:lang w:eastAsia="zh-CN"/>
        </w:rPr>
        <w:t>出</w:t>
      </w:r>
      <w:r>
        <w:rPr>
          <w:rFonts w:hint="eastAsia"/>
        </w:rPr>
        <w:t>总计</w:t>
      </w:r>
      <w:r>
        <w:rPr>
          <w:rFonts w:hint="eastAsia"/>
          <w:lang w:eastAsia="zh-CN"/>
        </w:rPr>
        <w:t>增加</w:t>
      </w:r>
      <w:r>
        <w:rPr>
          <w:rFonts w:hint="eastAsia"/>
          <w:lang w:val="en-US" w:eastAsia="zh-CN"/>
        </w:rPr>
        <w:t>47.01万元，增长9.62%。</w:t>
      </w:r>
      <w:r>
        <w:rPr>
          <w:rFonts w:hint="eastAsia"/>
          <w:lang w:eastAsia="zh-CN"/>
        </w:rPr>
        <w:t>财政拨款收入支出增加主要原因是人员工资正常晋级、职务晋升、发放了职工基础绩效，公用经费投入进一步加强，强化公用支出的支付力度等。</w:t>
      </w:r>
      <w:bookmarkEnd w:id="29"/>
    </w:p>
    <w:p>
      <w:pPr>
        <w:pStyle w:val="4"/>
        <w:bidi w:val="0"/>
        <w:rPr>
          <w:rFonts w:hint="eastAsia" w:ascii="宋体" w:hAnsi="宋体" w:cs="宋体"/>
          <w:snapToGrid w:val="0"/>
          <w:spacing w:val="0"/>
          <w:kern w:val="0"/>
          <w:lang w:eastAsia="zh-CN"/>
        </w:rPr>
      </w:pPr>
      <w:bookmarkStart w:id="30" w:name="_Toc13608"/>
      <w:r>
        <w:rPr>
          <w:rFonts w:hint="eastAsia" w:ascii="仿宋" w:hAnsi="仿宋" w:eastAsia="仿宋"/>
          <w:snapToGrid w:val="0"/>
          <w:color w:val="auto"/>
          <w:spacing w:val="0"/>
          <w:kern w:val="0"/>
          <w:sz w:val="32"/>
          <w:szCs w:val="32"/>
          <w:highlight w:val="none"/>
          <w:lang w:eastAsia="zh-CN"/>
        </w:rPr>
        <w:drawing>
          <wp:anchor distT="0" distB="0" distL="114935" distR="114935" simplePos="0" relativeHeight="251663360" behindDoc="0" locked="0" layoutInCell="1" allowOverlap="0">
            <wp:simplePos x="0" y="0"/>
            <wp:positionH relativeFrom="margin">
              <wp:posOffset>212090</wp:posOffset>
            </wp:positionH>
            <wp:positionV relativeFrom="paragraph">
              <wp:posOffset>60960</wp:posOffset>
            </wp:positionV>
            <wp:extent cx="5228590" cy="2879725"/>
            <wp:effectExtent l="4445" t="4445" r="5715" b="1143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宋体" w:hAnsi="宋体" w:cs="宋体"/>
          <w:snapToGrid w:val="0"/>
          <w:spacing w:val="0"/>
          <w:kern w:val="0"/>
          <w:lang w:eastAsia="zh-CN"/>
        </w:rPr>
        <w:t>五、一般公共预算财政拨款支出决算情况说明</w:t>
      </w:r>
      <w:bookmarkEnd w:id="30"/>
    </w:p>
    <w:p>
      <w:pPr>
        <w:pStyle w:val="5"/>
        <w:bidi w:val="0"/>
        <w:rPr>
          <w:rFonts w:hint="eastAsia"/>
          <w:lang w:eastAsia="zh-CN"/>
        </w:rPr>
      </w:pPr>
      <w:r>
        <w:rPr>
          <w:rFonts w:hint="eastAsia"/>
          <w:lang w:eastAsia="zh-CN"/>
        </w:rPr>
        <w:t>（一）一般公共预算财政拨款支出决算总体情况</w:t>
      </w:r>
    </w:p>
    <w:p>
      <w:pPr>
        <w:bidi w:val="0"/>
        <w:rPr>
          <w:rFonts w:hint="default" w:ascii="宋体" w:hAnsi="宋体" w:cs="宋体"/>
          <w:snapToGrid w:val="0"/>
          <w:spacing w:val="0"/>
          <w:kern w:val="0"/>
          <w:highlight w:val="yellow"/>
          <w:lang w:val="en-US" w:eastAsia="zh-CN"/>
        </w:rPr>
      </w:pPr>
      <w:r>
        <w:rPr>
          <w:rFonts w:hint="eastAsia" w:ascii="宋体" w:hAnsi="宋体" w:cs="宋体"/>
          <w:snapToGrid w:val="0"/>
          <w:spacing w:val="0"/>
          <w:kern w:val="0"/>
          <w:lang w:eastAsia="zh-CN"/>
        </w:rPr>
        <w:t>2022年一般公共预算财政拨款支出</w:t>
      </w:r>
      <w:r>
        <w:rPr>
          <w:rFonts w:hint="eastAsia" w:cs="宋体"/>
          <w:snapToGrid w:val="0"/>
          <w:spacing w:val="0"/>
          <w:kern w:val="0"/>
          <w:lang w:val="en-US" w:eastAsia="zh-CN"/>
        </w:rPr>
        <w:t>535.93</w:t>
      </w:r>
      <w:r>
        <w:rPr>
          <w:rFonts w:hint="eastAsia" w:ascii="宋体" w:hAnsi="宋体" w:cs="宋体"/>
          <w:snapToGrid w:val="0"/>
          <w:spacing w:val="0"/>
          <w:kern w:val="0"/>
          <w:lang w:eastAsia="zh-CN"/>
        </w:rPr>
        <w:t>万元，占本年支出合计的</w:t>
      </w:r>
      <w:r>
        <w:rPr>
          <w:rFonts w:hint="eastAsia" w:cs="宋体"/>
          <w:snapToGrid w:val="0"/>
          <w:spacing w:val="0"/>
          <w:kern w:val="0"/>
          <w:lang w:val="en-US" w:eastAsia="zh-CN"/>
        </w:rPr>
        <w:t>100</w:t>
      </w:r>
      <w:r>
        <w:rPr>
          <w:rFonts w:hint="eastAsia" w:ascii="宋体" w:hAnsi="宋体" w:cs="宋体"/>
          <w:snapToGrid w:val="0"/>
          <w:spacing w:val="0"/>
          <w:kern w:val="0"/>
          <w:lang w:eastAsia="zh-CN"/>
        </w:rPr>
        <w:t>%。与2021年相比，一般公共预算财政拨款支出增加</w:t>
      </w:r>
      <w:r>
        <w:rPr>
          <w:rFonts w:hint="eastAsia" w:cs="宋体"/>
          <w:snapToGrid w:val="0"/>
          <w:spacing w:val="0"/>
          <w:kern w:val="0"/>
          <w:lang w:val="en-US" w:eastAsia="zh-CN"/>
        </w:rPr>
        <w:t>57.36</w:t>
      </w:r>
      <w:r>
        <w:rPr>
          <w:rFonts w:hint="eastAsia" w:ascii="宋体" w:hAnsi="宋体" w:cs="宋体"/>
          <w:snapToGrid w:val="0"/>
          <w:spacing w:val="0"/>
          <w:kern w:val="0"/>
          <w:lang w:eastAsia="zh-CN"/>
        </w:rPr>
        <w:t>万元，增长</w:t>
      </w:r>
      <w:r>
        <w:rPr>
          <w:rFonts w:hint="eastAsia" w:cs="宋体"/>
          <w:snapToGrid w:val="0"/>
          <w:spacing w:val="0"/>
          <w:kern w:val="0"/>
          <w:lang w:val="en-US" w:eastAsia="zh-CN"/>
        </w:rPr>
        <w:t>11.99</w:t>
      </w:r>
      <w:r>
        <w:rPr>
          <w:rFonts w:hint="eastAsia" w:ascii="宋体" w:hAnsi="宋体" w:cs="宋体"/>
          <w:snapToGrid w:val="0"/>
          <w:spacing w:val="0"/>
          <w:kern w:val="0"/>
          <w:lang w:eastAsia="zh-CN"/>
        </w:rPr>
        <w:t>%。</w:t>
      </w:r>
      <w:r>
        <w:rPr>
          <w:rFonts w:hint="eastAsia" w:ascii="仿宋" w:hAnsi="仿宋" w:eastAsia="仿宋_GB2312"/>
          <w:snapToGrid w:val="0"/>
          <w:color w:val="auto"/>
          <w:spacing w:val="0"/>
          <w:kern w:val="0"/>
          <w:sz w:val="32"/>
          <w:szCs w:val="32"/>
          <w:highlight w:val="none"/>
          <w:lang w:eastAsia="zh-CN"/>
        </w:rPr>
        <w:t>主要原因是人员工资正常晋级、职务晋升</w:t>
      </w:r>
      <w:r>
        <w:rPr>
          <w:rFonts w:hint="eastAsia" w:ascii="仿宋" w:hAnsi="仿宋"/>
          <w:snapToGrid w:val="0"/>
          <w:color w:val="auto"/>
          <w:spacing w:val="0"/>
          <w:kern w:val="0"/>
          <w:sz w:val="32"/>
          <w:szCs w:val="32"/>
          <w:highlight w:val="none"/>
          <w:lang w:eastAsia="zh-CN"/>
        </w:rPr>
        <w:t>、</w:t>
      </w:r>
      <w:r>
        <w:rPr>
          <w:rFonts w:hint="eastAsia" w:ascii="宋体" w:hAnsi="宋体" w:cs="宋体"/>
          <w:snapToGrid w:val="0"/>
          <w:color w:val="auto"/>
          <w:spacing w:val="0"/>
          <w:kern w:val="0"/>
          <w:highlight w:val="none"/>
          <w:lang w:eastAsia="zh-CN"/>
        </w:rPr>
        <w:t>发放了职工基础绩效</w:t>
      </w:r>
      <w:r>
        <w:rPr>
          <w:rFonts w:hint="eastAsia" w:cs="宋体"/>
          <w:snapToGrid w:val="0"/>
          <w:color w:val="auto"/>
          <w:spacing w:val="0"/>
          <w:kern w:val="0"/>
          <w:highlight w:val="none"/>
          <w:lang w:eastAsia="zh-CN"/>
        </w:rPr>
        <w:t>，公用经费投入进一步加强，强化公用支出的支付力度</w:t>
      </w:r>
      <w:r>
        <w:rPr>
          <w:rFonts w:hint="eastAsia" w:ascii="宋体" w:hAnsi="宋体" w:cs="宋体"/>
          <w:snapToGrid w:val="0"/>
          <w:color w:val="auto"/>
          <w:spacing w:val="0"/>
          <w:kern w:val="0"/>
          <w:highlight w:val="none"/>
          <w:lang w:eastAsia="zh-CN"/>
        </w:rPr>
        <w:t>等</w:t>
      </w:r>
      <w:r>
        <w:rPr>
          <w:rFonts w:hint="eastAsia" w:ascii="仿宋" w:hAnsi="仿宋" w:eastAsia="仿宋_GB2312"/>
          <w:snapToGrid w:val="0"/>
          <w:color w:val="auto"/>
          <w:spacing w:val="0"/>
          <w:kern w:val="0"/>
          <w:sz w:val="32"/>
          <w:szCs w:val="32"/>
          <w:highlight w:val="none"/>
          <w:lang w:eastAsia="zh-CN"/>
        </w:rPr>
        <w:t>。</w:t>
      </w:r>
    </w:p>
    <w:p>
      <w:pPr>
        <w:pStyle w:val="5"/>
        <w:bidi w:val="0"/>
        <w:rPr>
          <w:rFonts w:hint="eastAsia"/>
          <w:snapToGrid w:val="0"/>
          <w:spacing w:val="0"/>
          <w:kern w:val="0"/>
          <w:lang w:eastAsia="zh-CN"/>
        </w:rPr>
      </w:pPr>
      <w:r>
        <w:rPr>
          <w:rFonts w:hint="eastAsia" w:eastAsia="宋体"/>
          <w:snapToGrid w:val="0"/>
          <w:spacing w:val="0"/>
          <w:kern w:val="0"/>
          <w:lang w:eastAsia="zh-CN"/>
        </w:rPr>
        <w:drawing>
          <wp:anchor distT="0" distB="0" distL="114935" distR="114935" simplePos="0" relativeHeight="251664384" behindDoc="0" locked="0" layoutInCell="1" allowOverlap="0">
            <wp:simplePos x="0" y="0"/>
            <wp:positionH relativeFrom="margin">
              <wp:posOffset>478790</wp:posOffset>
            </wp:positionH>
            <wp:positionV relativeFrom="paragraph">
              <wp:posOffset>165735</wp:posOffset>
            </wp:positionV>
            <wp:extent cx="4657090" cy="2411730"/>
            <wp:effectExtent l="4445" t="4445" r="5715" b="222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snapToGrid w:val="0"/>
          <w:spacing w:val="0"/>
          <w:kern w:val="0"/>
          <w:lang w:eastAsia="zh-CN"/>
        </w:rPr>
        <w:t>（二）一般公共预算财政拨款支出决算结构情况</w:t>
      </w:r>
    </w:p>
    <w:p>
      <w:pPr>
        <w:bidi w:val="0"/>
        <w:rPr>
          <w:rFonts w:hint="eastAsia" w:ascii="宋体" w:hAnsi="宋体" w:cs="宋体"/>
          <w:snapToGrid w:val="0"/>
          <w:spacing w:val="0"/>
          <w:kern w:val="0"/>
          <w:lang w:eastAsia="zh-CN"/>
        </w:rPr>
      </w:pPr>
      <w:r>
        <w:rPr>
          <w:rFonts w:hint="eastAsia" w:ascii="仿宋" w:hAnsi="仿宋" w:eastAsia="仿宋"/>
          <w:snapToGrid w:val="0"/>
          <w:color w:val="auto"/>
          <w:spacing w:val="0"/>
          <w:kern w:val="0"/>
          <w:sz w:val="32"/>
          <w:szCs w:val="32"/>
          <w:highlight w:val="none"/>
          <w:lang w:eastAsia="zh-CN"/>
        </w:rPr>
        <w:drawing>
          <wp:anchor distT="0" distB="0" distL="114300" distR="114300" simplePos="0" relativeHeight="251665408" behindDoc="0" locked="0" layoutInCell="1" allowOverlap="1">
            <wp:simplePos x="0" y="0"/>
            <wp:positionH relativeFrom="margin">
              <wp:posOffset>354965</wp:posOffset>
            </wp:positionH>
            <wp:positionV relativeFrom="paragraph">
              <wp:posOffset>2357120</wp:posOffset>
            </wp:positionV>
            <wp:extent cx="4905375" cy="2628265"/>
            <wp:effectExtent l="4445" t="4445" r="5080" b="1524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宋体" w:hAnsi="宋体" w:cs="宋体"/>
          <w:snapToGrid w:val="0"/>
          <w:spacing w:val="0"/>
          <w:kern w:val="0"/>
          <w:lang w:eastAsia="zh-CN"/>
        </w:rPr>
        <w:t>2022年一般公共预算财政拨款支出535.93万元，主要用于以下方面</w:t>
      </w:r>
      <w:r>
        <w:rPr>
          <w:rFonts w:hint="eastAsia" w:cs="宋体"/>
          <w:snapToGrid w:val="0"/>
          <w:spacing w:val="0"/>
          <w:kern w:val="0"/>
          <w:lang w:eastAsia="zh-CN"/>
        </w:rPr>
        <w:t>：</w:t>
      </w:r>
      <w:r>
        <w:rPr>
          <w:rFonts w:hint="eastAsia" w:ascii="宋体" w:hAnsi="宋体" w:cs="宋体"/>
          <w:snapToGrid w:val="0"/>
          <w:spacing w:val="0"/>
          <w:kern w:val="0"/>
          <w:lang w:eastAsia="zh-CN"/>
        </w:rPr>
        <w:t>一般公共服务支出454.32万元，占</w:t>
      </w:r>
      <w:r>
        <w:rPr>
          <w:rFonts w:hint="eastAsia" w:cs="宋体"/>
          <w:snapToGrid w:val="0"/>
          <w:spacing w:val="0"/>
          <w:kern w:val="0"/>
          <w:lang w:val="en-US" w:eastAsia="zh-CN"/>
        </w:rPr>
        <w:t>84.77</w:t>
      </w:r>
      <w:r>
        <w:rPr>
          <w:rFonts w:hint="eastAsia" w:ascii="宋体" w:hAnsi="宋体" w:cs="宋体"/>
          <w:snapToGrid w:val="0"/>
          <w:spacing w:val="0"/>
          <w:kern w:val="0"/>
          <w:lang w:eastAsia="zh-CN"/>
        </w:rPr>
        <w:t>%；教育支出</w:t>
      </w:r>
      <w:r>
        <w:rPr>
          <w:rFonts w:hint="eastAsia" w:cs="宋体"/>
          <w:snapToGrid w:val="0"/>
          <w:spacing w:val="0"/>
          <w:kern w:val="0"/>
          <w:lang w:val="en-US" w:eastAsia="zh-CN"/>
        </w:rPr>
        <w:t>0</w:t>
      </w:r>
      <w:r>
        <w:rPr>
          <w:rFonts w:hint="eastAsia" w:ascii="宋体" w:hAnsi="宋体" w:cs="宋体"/>
          <w:snapToGrid w:val="0"/>
          <w:spacing w:val="0"/>
          <w:kern w:val="0"/>
          <w:lang w:eastAsia="zh-CN"/>
        </w:rPr>
        <w:t>万元，占</w:t>
      </w:r>
      <w:r>
        <w:rPr>
          <w:rFonts w:hint="eastAsia" w:cs="宋体"/>
          <w:snapToGrid w:val="0"/>
          <w:spacing w:val="0"/>
          <w:kern w:val="0"/>
          <w:lang w:val="en-US" w:eastAsia="zh-CN"/>
        </w:rPr>
        <w:t>0</w:t>
      </w:r>
      <w:r>
        <w:rPr>
          <w:rFonts w:hint="eastAsia" w:ascii="宋体" w:hAnsi="宋体" w:cs="宋体"/>
          <w:snapToGrid w:val="0"/>
          <w:spacing w:val="0"/>
          <w:kern w:val="0"/>
          <w:lang w:eastAsia="zh-CN"/>
        </w:rPr>
        <w:t>%；科学技术支出</w:t>
      </w:r>
      <w:r>
        <w:rPr>
          <w:rFonts w:hint="eastAsia" w:cs="宋体"/>
          <w:snapToGrid w:val="0"/>
          <w:spacing w:val="0"/>
          <w:kern w:val="0"/>
          <w:lang w:val="en-US" w:eastAsia="zh-CN"/>
        </w:rPr>
        <w:t>0</w:t>
      </w:r>
      <w:r>
        <w:rPr>
          <w:rFonts w:hint="eastAsia" w:ascii="宋体" w:hAnsi="宋体" w:cs="宋体"/>
          <w:snapToGrid w:val="0"/>
          <w:spacing w:val="0"/>
          <w:kern w:val="0"/>
          <w:lang w:eastAsia="zh-CN"/>
        </w:rPr>
        <w:t>万元，占</w:t>
      </w:r>
      <w:r>
        <w:rPr>
          <w:rFonts w:hint="eastAsia" w:cs="宋体"/>
          <w:snapToGrid w:val="0"/>
          <w:spacing w:val="0"/>
          <w:kern w:val="0"/>
          <w:lang w:val="en-US" w:eastAsia="zh-CN"/>
        </w:rPr>
        <w:t>0</w:t>
      </w:r>
      <w:r>
        <w:rPr>
          <w:rFonts w:hint="eastAsia" w:ascii="宋体" w:hAnsi="宋体" w:cs="宋体"/>
          <w:snapToGrid w:val="0"/>
          <w:spacing w:val="0"/>
          <w:kern w:val="0"/>
          <w:lang w:eastAsia="zh-CN"/>
        </w:rPr>
        <w:t>%；文化旅游体育与传媒支出</w:t>
      </w:r>
      <w:r>
        <w:rPr>
          <w:rFonts w:hint="eastAsia" w:cs="宋体"/>
          <w:snapToGrid w:val="0"/>
          <w:spacing w:val="0"/>
          <w:kern w:val="0"/>
          <w:lang w:val="en-US" w:eastAsia="zh-CN"/>
        </w:rPr>
        <w:t>0</w:t>
      </w:r>
      <w:r>
        <w:rPr>
          <w:rFonts w:hint="eastAsia" w:ascii="宋体" w:hAnsi="宋体" w:cs="宋体"/>
          <w:snapToGrid w:val="0"/>
          <w:spacing w:val="0"/>
          <w:kern w:val="0"/>
          <w:lang w:eastAsia="zh-CN"/>
        </w:rPr>
        <w:t>万元，占</w:t>
      </w:r>
      <w:r>
        <w:rPr>
          <w:rFonts w:hint="eastAsia" w:cs="宋体"/>
          <w:snapToGrid w:val="0"/>
          <w:spacing w:val="0"/>
          <w:kern w:val="0"/>
          <w:lang w:val="en-US" w:eastAsia="zh-CN"/>
        </w:rPr>
        <w:t>0</w:t>
      </w:r>
      <w:r>
        <w:rPr>
          <w:rFonts w:hint="eastAsia" w:ascii="宋体" w:hAnsi="宋体" w:cs="宋体"/>
          <w:snapToGrid w:val="0"/>
          <w:spacing w:val="0"/>
          <w:kern w:val="0"/>
          <w:lang w:eastAsia="zh-CN"/>
        </w:rPr>
        <w:t>%；社会保障和就业支出28.54万元，占</w:t>
      </w:r>
      <w:r>
        <w:rPr>
          <w:rFonts w:hint="eastAsia" w:cs="宋体"/>
          <w:snapToGrid w:val="0"/>
          <w:spacing w:val="0"/>
          <w:kern w:val="0"/>
          <w:lang w:val="en-US" w:eastAsia="zh-CN"/>
        </w:rPr>
        <w:t>5.33</w:t>
      </w:r>
      <w:r>
        <w:rPr>
          <w:rFonts w:hint="eastAsia" w:ascii="宋体" w:hAnsi="宋体" w:cs="宋体"/>
          <w:snapToGrid w:val="0"/>
          <w:spacing w:val="0"/>
          <w:kern w:val="0"/>
          <w:lang w:eastAsia="zh-CN"/>
        </w:rPr>
        <w:t>%；卫生健康支出19.4万元，占</w:t>
      </w:r>
      <w:r>
        <w:rPr>
          <w:rFonts w:hint="eastAsia" w:cs="宋体"/>
          <w:snapToGrid w:val="0"/>
          <w:spacing w:val="0"/>
          <w:kern w:val="0"/>
          <w:lang w:val="en-US" w:eastAsia="zh-CN"/>
        </w:rPr>
        <w:t>3.62</w:t>
      </w:r>
      <w:r>
        <w:rPr>
          <w:rFonts w:hint="eastAsia" w:ascii="宋体" w:hAnsi="宋体" w:cs="宋体"/>
          <w:snapToGrid w:val="0"/>
          <w:spacing w:val="0"/>
          <w:kern w:val="0"/>
          <w:lang w:eastAsia="zh-CN"/>
        </w:rPr>
        <w:t>%；住房保障支出33.68万元，占</w:t>
      </w:r>
      <w:r>
        <w:rPr>
          <w:rFonts w:hint="eastAsia" w:cs="宋体"/>
          <w:snapToGrid w:val="0"/>
          <w:spacing w:val="0"/>
          <w:kern w:val="0"/>
          <w:lang w:val="en-US" w:eastAsia="zh-CN"/>
        </w:rPr>
        <w:t>6.28</w:t>
      </w:r>
      <w:r>
        <w:rPr>
          <w:rFonts w:hint="eastAsia" w:ascii="宋体" w:hAnsi="宋体" w:cs="宋体"/>
          <w:snapToGrid w:val="0"/>
          <w:spacing w:val="0"/>
          <w:kern w:val="0"/>
          <w:lang w:eastAsia="zh-CN"/>
        </w:rPr>
        <w:t>%。</w:t>
      </w:r>
    </w:p>
    <w:p>
      <w:pPr>
        <w:pStyle w:val="5"/>
        <w:bidi w:val="0"/>
        <w:rPr>
          <w:rFonts w:hint="eastAsia"/>
          <w:lang w:eastAsia="zh-CN"/>
        </w:rPr>
      </w:pPr>
      <w:r>
        <w:rPr>
          <w:rFonts w:hint="eastAsia"/>
          <w:lang w:eastAsia="zh-CN"/>
        </w:rPr>
        <w:t>（三）一般公共预算财政拨款支出决算具体情况</w:t>
      </w:r>
    </w:p>
    <w:p>
      <w:pPr>
        <w:bidi w:val="0"/>
        <w:rPr>
          <w:rFonts w:hint="eastAsia"/>
          <w:lang w:eastAsia="zh-CN"/>
        </w:rPr>
      </w:pPr>
      <w:r>
        <w:rPr>
          <w:rFonts w:hint="eastAsia"/>
          <w:lang w:eastAsia="zh-CN"/>
        </w:rPr>
        <w:t>2022年一般公共预算支出决算数为</w:t>
      </w:r>
      <w:r>
        <w:rPr>
          <w:rFonts w:hint="eastAsia"/>
          <w:lang w:val="en-US" w:eastAsia="zh-CN"/>
        </w:rPr>
        <w:t>535.93</w:t>
      </w:r>
      <w:r>
        <w:rPr>
          <w:rFonts w:hint="eastAsia"/>
          <w:lang w:eastAsia="zh-CN"/>
        </w:rPr>
        <w:t>万元，完成预算</w:t>
      </w:r>
      <w:r>
        <w:rPr>
          <w:rFonts w:hint="eastAsia"/>
          <w:lang w:val="en-US" w:eastAsia="zh-CN"/>
        </w:rPr>
        <w:t>96.32</w:t>
      </w:r>
      <w:r>
        <w:rPr>
          <w:rFonts w:hint="eastAsia"/>
          <w:lang w:eastAsia="zh-CN"/>
        </w:rPr>
        <w:t>%。其中：</w:t>
      </w:r>
    </w:p>
    <w:p>
      <w:pPr>
        <w:bidi w:val="0"/>
        <w:rPr>
          <w:rFonts w:hint="eastAsia"/>
          <w:lang w:eastAsia="zh-CN"/>
        </w:rPr>
      </w:pPr>
      <w:r>
        <w:rPr>
          <w:rFonts w:hint="eastAsia"/>
          <w:lang w:eastAsia="zh-CN"/>
        </w:rPr>
        <w:t>1.一般公共服务支出（类）决算为454.32万元，完成预算</w:t>
      </w:r>
      <w:r>
        <w:rPr>
          <w:rFonts w:hint="eastAsia"/>
          <w:lang w:val="en-US" w:eastAsia="zh-CN"/>
        </w:rPr>
        <w:t>95.68</w:t>
      </w:r>
      <w:r>
        <w:rPr>
          <w:rFonts w:hint="eastAsia"/>
          <w:lang w:eastAsia="zh-CN"/>
        </w:rPr>
        <w:t>%，其中：市场监督管理事务（款）决算为</w:t>
      </w:r>
      <w:r>
        <w:rPr>
          <w:rFonts w:hint="eastAsia"/>
          <w:lang w:val="en-US" w:eastAsia="zh-CN"/>
        </w:rPr>
        <w:t>454.32万元，其中</w:t>
      </w:r>
      <w:r>
        <w:rPr>
          <w:rFonts w:hint="eastAsia"/>
          <w:lang w:eastAsia="zh-CN"/>
        </w:rPr>
        <w:t>行政运行（项）370.23万元，完成预算</w:t>
      </w:r>
      <w:r>
        <w:rPr>
          <w:rFonts w:hint="eastAsia"/>
          <w:lang w:val="en-US" w:eastAsia="zh-CN"/>
        </w:rPr>
        <w:t>99.55%</w:t>
      </w:r>
      <w:r>
        <w:rPr>
          <w:rFonts w:hint="eastAsia"/>
          <w:lang w:eastAsia="zh-CN"/>
        </w:rPr>
        <w:t>；一般行政管理事务（项）14.3万元，完成预算</w:t>
      </w:r>
      <w:r>
        <w:rPr>
          <w:rFonts w:hint="eastAsia"/>
          <w:lang w:val="en-US" w:eastAsia="zh-CN"/>
        </w:rPr>
        <w:t>100</w:t>
      </w:r>
      <w:r>
        <w:rPr>
          <w:rFonts w:hint="eastAsia"/>
          <w:lang w:eastAsia="zh-CN"/>
        </w:rPr>
        <w:t>%；市场主体管理（项）7.6万元，完成预算</w:t>
      </w:r>
      <w:r>
        <w:rPr>
          <w:rFonts w:hint="eastAsia"/>
          <w:lang w:val="en-US" w:eastAsia="zh-CN"/>
        </w:rPr>
        <w:t>100</w:t>
      </w:r>
      <w:r>
        <w:rPr>
          <w:rFonts w:hint="eastAsia"/>
          <w:lang w:eastAsia="zh-CN"/>
        </w:rPr>
        <w:t>%；市场秩序执法（项）30万元，完成预算</w:t>
      </w:r>
      <w:r>
        <w:rPr>
          <w:rFonts w:hint="eastAsia"/>
          <w:lang w:val="en-US" w:eastAsia="zh-CN"/>
        </w:rPr>
        <w:t>100</w:t>
      </w:r>
      <w:r>
        <w:rPr>
          <w:rFonts w:hint="eastAsia"/>
          <w:lang w:eastAsia="zh-CN"/>
        </w:rPr>
        <w:t>%；药品事务（项）7万元，完成预算</w:t>
      </w:r>
      <w:r>
        <w:rPr>
          <w:rFonts w:hint="eastAsia"/>
          <w:lang w:val="en-US" w:eastAsia="zh-CN"/>
        </w:rPr>
        <w:t>100</w:t>
      </w:r>
      <w:r>
        <w:rPr>
          <w:rFonts w:hint="eastAsia"/>
          <w:lang w:eastAsia="zh-CN"/>
        </w:rPr>
        <w:t>%；其他市场监督管理事务（项）25.19万元，完成预算</w:t>
      </w:r>
      <w:r>
        <w:rPr>
          <w:rFonts w:hint="eastAsia"/>
          <w:lang w:val="en-US" w:eastAsia="zh-CN"/>
        </w:rPr>
        <w:t>57.26</w:t>
      </w:r>
      <w:r>
        <w:rPr>
          <w:rFonts w:hint="eastAsia"/>
          <w:lang w:eastAsia="zh-CN"/>
        </w:rPr>
        <w:t>%。决算数小于预算数的原因是年终部分项目实施较晚，未能及时实现支付。</w:t>
      </w:r>
    </w:p>
    <w:p>
      <w:pPr>
        <w:bidi w:val="0"/>
        <w:rPr>
          <w:rFonts w:hint="eastAsia"/>
          <w:lang w:eastAsia="zh-CN"/>
        </w:rPr>
      </w:pPr>
      <w:r>
        <w:rPr>
          <w:rFonts w:hint="eastAsia"/>
          <w:snapToGrid w:val="0"/>
          <w:spacing w:val="0"/>
          <w:kern w:val="0"/>
          <w:highlight w:val="none"/>
          <w:lang w:eastAsia="zh-CN"/>
        </w:rPr>
        <w:t>2.社会保障和就业支出（类）决算28.54万元，完成预算</w:t>
      </w:r>
      <w:r>
        <w:rPr>
          <w:rFonts w:hint="eastAsia"/>
          <w:snapToGrid w:val="0"/>
          <w:spacing w:val="0"/>
          <w:kern w:val="0"/>
          <w:highlight w:val="none"/>
          <w:lang w:val="en-US" w:eastAsia="zh-CN"/>
        </w:rPr>
        <w:t>100</w:t>
      </w:r>
      <w:r>
        <w:rPr>
          <w:rFonts w:hint="eastAsia"/>
          <w:snapToGrid w:val="0"/>
          <w:spacing w:val="0"/>
          <w:kern w:val="0"/>
          <w:highlight w:val="none"/>
          <w:lang w:eastAsia="zh-CN"/>
        </w:rPr>
        <w:t>%。其中：行政事业单位养老支出（款）决算为</w:t>
      </w:r>
      <w:r>
        <w:rPr>
          <w:rFonts w:hint="eastAsia"/>
          <w:snapToGrid w:val="0"/>
          <w:spacing w:val="0"/>
          <w:kern w:val="0"/>
          <w:highlight w:val="none"/>
          <w:lang w:val="en-US" w:eastAsia="zh-CN"/>
        </w:rPr>
        <w:t>28.54万元，完成预算100%，其</w:t>
      </w:r>
      <w:r>
        <w:rPr>
          <w:rFonts w:hint="eastAsia"/>
          <w:lang w:val="en-US" w:eastAsia="zh-CN"/>
        </w:rPr>
        <w:t>中</w:t>
      </w:r>
      <w:r>
        <w:rPr>
          <w:rFonts w:hint="eastAsia"/>
          <w:lang w:eastAsia="zh-CN"/>
        </w:rPr>
        <w:t>行政单位离退休（项）1.8万元，</w:t>
      </w:r>
      <w:r>
        <w:rPr>
          <w:rFonts w:hint="eastAsia"/>
          <w:snapToGrid w:val="0"/>
          <w:spacing w:val="0"/>
          <w:kern w:val="0"/>
          <w:highlight w:val="none"/>
          <w:lang w:val="en-US" w:eastAsia="zh-CN"/>
        </w:rPr>
        <w:t>完成预算100%，</w:t>
      </w:r>
      <w:r>
        <w:rPr>
          <w:rFonts w:hint="eastAsia"/>
          <w:lang w:eastAsia="zh-CN"/>
        </w:rPr>
        <w:t>机关事业单位基本养老保险缴费（项）26.74万元</w:t>
      </w:r>
      <w:r>
        <w:rPr>
          <w:rFonts w:hint="eastAsia"/>
          <w:snapToGrid w:val="0"/>
          <w:spacing w:val="0"/>
          <w:kern w:val="0"/>
          <w:highlight w:val="none"/>
          <w:lang w:val="en-US" w:eastAsia="zh-CN"/>
        </w:rPr>
        <w:t>，完成预算100%</w:t>
      </w:r>
      <w:r>
        <w:rPr>
          <w:rFonts w:hint="eastAsia"/>
          <w:lang w:eastAsia="zh-CN"/>
        </w:rPr>
        <w:t>。</w:t>
      </w:r>
    </w:p>
    <w:p>
      <w:pPr>
        <w:bidi w:val="0"/>
        <w:rPr>
          <w:rFonts w:hint="eastAsia"/>
          <w:lang w:eastAsia="zh-CN"/>
        </w:rPr>
      </w:pPr>
      <w:r>
        <w:rPr>
          <w:rFonts w:hint="eastAsia"/>
          <w:lang w:eastAsia="zh-CN"/>
        </w:rPr>
        <w:t>3.卫生健康支出（类）决算为19.39万元，完成预算</w:t>
      </w:r>
      <w:r>
        <w:rPr>
          <w:rFonts w:hint="eastAsia"/>
          <w:lang w:val="en-US" w:eastAsia="zh-CN"/>
        </w:rPr>
        <w:t>100</w:t>
      </w:r>
      <w:r>
        <w:rPr>
          <w:rFonts w:hint="eastAsia"/>
          <w:lang w:eastAsia="zh-CN"/>
        </w:rPr>
        <w:t>%。其中：行政事业单位医疗（款）19.39万元</w:t>
      </w:r>
      <w:r>
        <w:rPr>
          <w:rFonts w:hint="eastAsia"/>
          <w:snapToGrid w:val="0"/>
          <w:spacing w:val="0"/>
          <w:kern w:val="0"/>
          <w:highlight w:val="none"/>
          <w:lang w:val="en-US" w:eastAsia="zh-CN"/>
        </w:rPr>
        <w:t>，完成预算100%</w:t>
      </w:r>
      <w:r>
        <w:rPr>
          <w:rFonts w:hint="eastAsia"/>
          <w:lang w:eastAsia="zh-CN"/>
        </w:rPr>
        <w:t>，其中行政单位医疗（项）16.07万元</w:t>
      </w:r>
      <w:r>
        <w:rPr>
          <w:rFonts w:hint="eastAsia"/>
          <w:snapToGrid w:val="0"/>
          <w:spacing w:val="0"/>
          <w:kern w:val="0"/>
          <w:highlight w:val="none"/>
          <w:lang w:val="en-US" w:eastAsia="zh-CN"/>
        </w:rPr>
        <w:t>，完成预算100%</w:t>
      </w:r>
      <w:r>
        <w:rPr>
          <w:rFonts w:hint="eastAsia"/>
          <w:lang w:eastAsia="zh-CN"/>
        </w:rPr>
        <w:t>、公务员医疗补助（项）3.2万元</w:t>
      </w:r>
      <w:r>
        <w:rPr>
          <w:rFonts w:hint="eastAsia"/>
          <w:snapToGrid w:val="0"/>
          <w:spacing w:val="0"/>
          <w:kern w:val="0"/>
          <w:highlight w:val="none"/>
          <w:lang w:val="en-US" w:eastAsia="zh-CN"/>
        </w:rPr>
        <w:t>，完成预算100%</w:t>
      </w:r>
      <w:r>
        <w:rPr>
          <w:rFonts w:hint="eastAsia"/>
          <w:lang w:eastAsia="zh-CN"/>
        </w:rPr>
        <w:t>、其他行政事业单位医疗支出（项）0.12</w:t>
      </w:r>
      <w:r>
        <w:rPr>
          <w:rFonts w:hint="eastAsia"/>
          <w:snapToGrid w:val="0"/>
          <w:spacing w:val="0"/>
          <w:kern w:val="0"/>
          <w:highlight w:val="none"/>
          <w:lang w:val="en-US" w:eastAsia="zh-CN"/>
        </w:rPr>
        <w:t>，完成预算100%</w:t>
      </w:r>
      <w:r>
        <w:rPr>
          <w:rFonts w:hint="eastAsia"/>
          <w:lang w:eastAsia="zh-CN"/>
        </w:rPr>
        <w:t>。</w:t>
      </w:r>
    </w:p>
    <w:p>
      <w:pPr>
        <w:bidi w:val="0"/>
        <w:rPr>
          <w:rFonts w:hint="eastAsia"/>
          <w:lang w:eastAsia="zh-CN"/>
        </w:rPr>
      </w:pPr>
      <w:r>
        <w:rPr>
          <w:rFonts w:hint="eastAsia"/>
          <w:lang w:eastAsia="zh-CN"/>
        </w:rPr>
        <w:t>4、住房保障支出（类）决算为33.68万元，完成预算</w:t>
      </w:r>
      <w:r>
        <w:rPr>
          <w:rFonts w:hint="eastAsia"/>
          <w:lang w:val="en-US" w:eastAsia="zh-CN"/>
        </w:rPr>
        <w:t>100</w:t>
      </w:r>
      <w:r>
        <w:rPr>
          <w:rFonts w:hint="eastAsia"/>
          <w:lang w:eastAsia="zh-CN"/>
        </w:rPr>
        <w:t>%，其中：住房改革支出（款）决算为33.68万元</w:t>
      </w:r>
      <w:r>
        <w:rPr>
          <w:rFonts w:hint="eastAsia"/>
          <w:snapToGrid w:val="0"/>
          <w:spacing w:val="0"/>
          <w:kern w:val="0"/>
          <w:highlight w:val="none"/>
          <w:lang w:val="en-US" w:eastAsia="zh-CN"/>
        </w:rPr>
        <w:t>，完成预算100%</w:t>
      </w:r>
      <w:r>
        <w:rPr>
          <w:rFonts w:hint="eastAsia"/>
          <w:lang w:eastAsia="zh-CN"/>
        </w:rPr>
        <w:t>，其中住房公积金（项）33.68万元</w:t>
      </w:r>
      <w:r>
        <w:rPr>
          <w:rFonts w:hint="eastAsia"/>
          <w:snapToGrid w:val="0"/>
          <w:spacing w:val="0"/>
          <w:kern w:val="0"/>
          <w:highlight w:val="none"/>
          <w:lang w:val="en-US" w:eastAsia="zh-CN"/>
        </w:rPr>
        <w:t>，完成预算100%</w:t>
      </w:r>
      <w:r>
        <w:rPr>
          <w:rFonts w:hint="eastAsia"/>
          <w:lang w:eastAsia="zh-CN"/>
        </w:rPr>
        <w:t>。</w:t>
      </w:r>
    </w:p>
    <w:p>
      <w:pPr>
        <w:pStyle w:val="4"/>
        <w:bidi w:val="0"/>
        <w:rPr>
          <w:rFonts w:hint="eastAsia"/>
          <w:lang w:eastAsia="zh-CN"/>
        </w:rPr>
      </w:pPr>
      <w:bookmarkStart w:id="31" w:name="_Toc21474"/>
      <w:r>
        <w:rPr>
          <w:rFonts w:hint="eastAsia"/>
          <w:lang w:eastAsia="zh-CN"/>
        </w:rPr>
        <w:t>六、一般公共预算财政拨款基本支出决算情况说明</w:t>
      </w:r>
      <w:bookmarkEnd w:id="31"/>
    </w:p>
    <w:p>
      <w:pPr>
        <w:bidi w:val="0"/>
        <w:rPr>
          <w:rFonts w:hint="eastAsia"/>
          <w:lang w:eastAsia="zh-CN"/>
        </w:rPr>
      </w:pPr>
      <w:r>
        <w:rPr>
          <w:rFonts w:hint="eastAsia"/>
          <w:lang w:eastAsia="zh-CN"/>
        </w:rPr>
        <w:t>2022年一般公共预算财政拨款基本支出451.84万元，其中：</w:t>
      </w:r>
    </w:p>
    <w:p>
      <w:pPr>
        <w:bidi w:val="0"/>
        <w:rPr>
          <w:rFonts w:hint="eastAsia"/>
          <w:lang w:eastAsia="zh-CN"/>
        </w:rPr>
      </w:pPr>
      <w:r>
        <w:rPr>
          <w:rFonts w:hint="eastAsia"/>
          <w:lang w:eastAsia="zh-CN"/>
        </w:rPr>
        <w:t>人员经费379.68万元，主要包括：基本工资102.56万元，津贴补贴69.25万元，奖金8.32万元，伙食补助费</w:t>
      </w:r>
      <w:r>
        <w:rPr>
          <w:rFonts w:hint="eastAsia"/>
          <w:lang w:val="en-US" w:eastAsia="zh-CN"/>
        </w:rPr>
        <w:t>0万元</w:t>
      </w:r>
      <w:r>
        <w:rPr>
          <w:rFonts w:hint="eastAsia"/>
          <w:lang w:eastAsia="zh-CN"/>
        </w:rPr>
        <w:t>，绩效工资</w:t>
      </w:r>
      <w:r>
        <w:rPr>
          <w:rFonts w:hint="eastAsia"/>
          <w:lang w:val="en-US" w:eastAsia="zh-CN"/>
        </w:rPr>
        <w:t>0万元，</w:t>
      </w:r>
      <w:r>
        <w:rPr>
          <w:rFonts w:hint="eastAsia"/>
          <w:lang w:eastAsia="zh-CN"/>
        </w:rPr>
        <w:t>机关事业单位基本养老保险缴费26.74万元，职业年金缴费</w:t>
      </w:r>
      <w:r>
        <w:rPr>
          <w:rFonts w:hint="eastAsia"/>
          <w:lang w:val="en-US" w:eastAsia="zh-CN"/>
        </w:rPr>
        <w:t>0万元</w:t>
      </w:r>
      <w:r>
        <w:rPr>
          <w:rFonts w:hint="eastAsia"/>
          <w:lang w:eastAsia="zh-CN"/>
        </w:rPr>
        <w:t>，职工基本医疗保险缴费</w:t>
      </w:r>
      <w:r>
        <w:rPr>
          <w:rFonts w:hint="eastAsia"/>
          <w:lang w:val="en-US" w:eastAsia="zh-CN"/>
        </w:rPr>
        <w:t>16.07万元，公务员医疗补助3.2万元，</w:t>
      </w:r>
      <w:r>
        <w:rPr>
          <w:rFonts w:hint="eastAsia"/>
          <w:lang w:eastAsia="zh-CN"/>
        </w:rPr>
        <w:t>其他社会保障缴费</w:t>
      </w:r>
      <w:r>
        <w:rPr>
          <w:rFonts w:hint="eastAsia"/>
          <w:lang w:val="en-US" w:eastAsia="zh-CN"/>
        </w:rPr>
        <w:t>0.96万元</w:t>
      </w:r>
      <w:r>
        <w:rPr>
          <w:rFonts w:hint="eastAsia"/>
          <w:lang w:eastAsia="zh-CN"/>
        </w:rPr>
        <w:t>，住房公积金</w:t>
      </w:r>
      <w:r>
        <w:rPr>
          <w:rFonts w:hint="eastAsia"/>
          <w:lang w:val="en-US" w:eastAsia="zh-CN"/>
        </w:rPr>
        <w:t>33.68万元</w:t>
      </w:r>
      <w:r>
        <w:rPr>
          <w:rFonts w:hint="eastAsia"/>
          <w:lang w:eastAsia="zh-CN"/>
        </w:rPr>
        <w:t>，医疗费</w:t>
      </w:r>
      <w:r>
        <w:rPr>
          <w:rFonts w:hint="eastAsia"/>
          <w:lang w:val="en-US" w:eastAsia="zh-CN"/>
        </w:rPr>
        <w:t>0.14万元</w:t>
      </w:r>
      <w:r>
        <w:rPr>
          <w:rFonts w:hint="eastAsia"/>
          <w:lang w:eastAsia="zh-CN"/>
        </w:rPr>
        <w:t>，其他工资福利支出</w:t>
      </w:r>
      <w:r>
        <w:rPr>
          <w:rFonts w:hint="eastAsia"/>
          <w:lang w:val="en-US" w:eastAsia="zh-CN"/>
        </w:rPr>
        <w:t>115.04万元</w:t>
      </w:r>
      <w:r>
        <w:rPr>
          <w:rFonts w:hint="eastAsia"/>
          <w:lang w:eastAsia="zh-CN"/>
        </w:rPr>
        <w:t>，对个人和家庭补助支出3.72万元，其中离休费</w:t>
      </w:r>
      <w:r>
        <w:rPr>
          <w:rFonts w:hint="eastAsia"/>
          <w:lang w:val="en-US" w:eastAsia="zh-CN"/>
        </w:rPr>
        <w:t>0万元</w:t>
      </w:r>
      <w:r>
        <w:rPr>
          <w:rFonts w:hint="eastAsia"/>
          <w:lang w:eastAsia="zh-CN"/>
        </w:rPr>
        <w:t>、退休费</w:t>
      </w:r>
      <w:r>
        <w:rPr>
          <w:rFonts w:hint="eastAsia"/>
          <w:lang w:val="en-US" w:eastAsia="zh-CN"/>
        </w:rPr>
        <w:t>0万元</w:t>
      </w:r>
      <w:r>
        <w:rPr>
          <w:rFonts w:hint="eastAsia"/>
          <w:lang w:eastAsia="zh-CN"/>
        </w:rPr>
        <w:t>、退职（役）费</w:t>
      </w:r>
      <w:r>
        <w:rPr>
          <w:rFonts w:hint="eastAsia"/>
          <w:lang w:val="en-US" w:eastAsia="zh-CN"/>
        </w:rPr>
        <w:t>0万元、</w:t>
      </w:r>
      <w:r>
        <w:rPr>
          <w:rFonts w:hint="eastAsia"/>
          <w:lang w:eastAsia="zh-CN"/>
        </w:rPr>
        <w:t>抚恤金</w:t>
      </w:r>
      <w:r>
        <w:rPr>
          <w:rFonts w:hint="eastAsia"/>
          <w:lang w:val="en-US" w:eastAsia="zh-CN"/>
        </w:rPr>
        <w:t>0万元</w:t>
      </w:r>
      <w:r>
        <w:rPr>
          <w:rFonts w:hint="eastAsia"/>
          <w:lang w:eastAsia="zh-CN"/>
        </w:rPr>
        <w:t>、生活补助</w:t>
      </w:r>
      <w:r>
        <w:rPr>
          <w:rFonts w:hint="eastAsia"/>
          <w:lang w:val="en-US" w:eastAsia="zh-CN"/>
        </w:rPr>
        <w:t>3.6万元、</w:t>
      </w:r>
      <w:r>
        <w:rPr>
          <w:rFonts w:hint="eastAsia"/>
          <w:lang w:eastAsia="zh-CN"/>
        </w:rPr>
        <w:t>救济费</w:t>
      </w:r>
      <w:r>
        <w:rPr>
          <w:rFonts w:hint="eastAsia"/>
          <w:lang w:val="en-US" w:eastAsia="zh-CN"/>
        </w:rPr>
        <w:t>0万元</w:t>
      </w:r>
      <w:r>
        <w:rPr>
          <w:rFonts w:hint="eastAsia"/>
          <w:lang w:eastAsia="zh-CN"/>
        </w:rPr>
        <w:t>、医疗费补助0.12万元</w:t>
      </w:r>
      <w:r>
        <w:rPr>
          <w:rFonts w:hint="eastAsia"/>
          <w:lang w:val="en-US" w:eastAsia="zh-CN"/>
        </w:rPr>
        <w:t>、助学金0万元、</w:t>
      </w:r>
      <w:r>
        <w:rPr>
          <w:rFonts w:hint="eastAsia"/>
          <w:lang w:eastAsia="zh-CN"/>
        </w:rPr>
        <w:t>奖励金</w:t>
      </w:r>
      <w:r>
        <w:rPr>
          <w:rFonts w:hint="eastAsia"/>
          <w:lang w:val="en-US" w:eastAsia="zh-CN"/>
        </w:rPr>
        <w:t>0万元、个人农业生产补贴0万元、代缴社会保险费0万元、其他对个人和家庭的补助0万元</w:t>
      </w:r>
      <w:r>
        <w:rPr>
          <w:rFonts w:hint="eastAsia"/>
          <w:lang w:eastAsia="zh-CN"/>
        </w:rPr>
        <w:t>。</w:t>
      </w:r>
    </w:p>
    <w:p>
      <w:pPr>
        <w:bidi w:val="0"/>
        <w:rPr>
          <w:rFonts w:hint="eastAsia"/>
          <w:lang w:eastAsia="zh-CN"/>
        </w:rPr>
      </w:pPr>
      <w:r>
        <w:rPr>
          <w:rFonts w:hint="eastAsia"/>
          <w:lang w:eastAsia="zh-CN"/>
        </w:rPr>
        <w:t>日常公用经费72.17万元，主要包括：办公费5.35万元、印刷费1.3万元、咨询费</w:t>
      </w:r>
      <w:r>
        <w:rPr>
          <w:rFonts w:hint="eastAsia"/>
          <w:lang w:val="en-US" w:eastAsia="zh-CN"/>
        </w:rPr>
        <w:t>0万元、手续费0万元、</w:t>
      </w:r>
      <w:r>
        <w:rPr>
          <w:rFonts w:hint="eastAsia"/>
          <w:lang w:eastAsia="zh-CN"/>
        </w:rPr>
        <w:t>水费2.95万元、电费3.92万元、邮电费3.6万元，取暖费</w:t>
      </w:r>
      <w:r>
        <w:rPr>
          <w:rFonts w:hint="eastAsia"/>
          <w:lang w:val="en-US" w:eastAsia="zh-CN"/>
        </w:rPr>
        <w:t>0万元、</w:t>
      </w:r>
      <w:r>
        <w:rPr>
          <w:rFonts w:hint="eastAsia"/>
          <w:lang w:eastAsia="zh-CN"/>
        </w:rPr>
        <w:t>物业管理费4.89万元、差旅费2.49万元、因公出国（境）费用</w:t>
      </w:r>
      <w:r>
        <w:rPr>
          <w:rFonts w:hint="eastAsia"/>
          <w:lang w:val="en-US" w:eastAsia="zh-CN"/>
        </w:rPr>
        <w:t>0万元、</w:t>
      </w:r>
      <w:r>
        <w:rPr>
          <w:rFonts w:hint="eastAsia"/>
          <w:lang w:eastAsia="zh-CN"/>
        </w:rPr>
        <w:t>维修（护）费1.6万元、租赁费</w:t>
      </w:r>
      <w:r>
        <w:rPr>
          <w:rFonts w:hint="eastAsia"/>
          <w:lang w:val="en-US" w:eastAsia="zh-CN"/>
        </w:rPr>
        <w:t>0万元、会议费0万元、</w:t>
      </w:r>
      <w:r>
        <w:rPr>
          <w:rFonts w:hint="eastAsia"/>
          <w:lang w:eastAsia="zh-CN"/>
        </w:rPr>
        <w:t>培训费1.02万元、公务接待费</w:t>
      </w:r>
      <w:r>
        <w:rPr>
          <w:rFonts w:hint="eastAsia"/>
          <w:lang w:val="en-US" w:eastAsia="zh-CN"/>
        </w:rPr>
        <w:t>0万元、专用材料费0万元、被装购置费0万元、专用燃料费0万元、</w:t>
      </w:r>
      <w:r>
        <w:rPr>
          <w:rFonts w:hint="eastAsia"/>
          <w:lang w:eastAsia="zh-CN"/>
        </w:rPr>
        <w:t>劳务费6.84万元、委托业务费</w:t>
      </w:r>
      <w:r>
        <w:rPr>
          <w:rFonts w:hint="eastAsia"/>
          <w:lang w:val="en-US" w:eastAsia="zh-CN"/>
        </w:rPr>
        <w:t>0万元、</w:t>
      </w:r>
      <w:r>
        <w:rPr>
          <w:rFonts w:hint="eastAsia"/>
          <w:lang w:eastAsia="zh-CN"/>
        </w:rPr>
        <w:t>工会经费3.2万元、福利费1.77万元、公务用车运行维护费3.9万元、其他交通费用18.62万元、其他商品和服务支出10.71万元等。</w:t>
      </w:r>
    </w:p>
    <w:p>
      <w:pPr>
        <w:pStyle w:val="4"/>
        <w:bidi w:val="0"/>
        <w:rPr>
          <w:rFonts w:hint="eastAsia"/>
          <w:lang w:eastAsia="zh-CN"/>
        </w:rPr>
      </w:pPr>
      <w:bookmarkStart w:id="32" w:name="_Toc21905"/>
      <w:r>
        <w:rPr>
          <w:rFonts w:hint="eastAsia"/>
          <w:lang w:eastAsia="zh-CN"/>
        </w:rPr>
        <w:t>七、财政拨款“三公”经费支出决算情况说明</w:t>
      </w:r>
      <w:bookmarkEnd w:id="32"/>
    </w:p>
    <w:p>
      <w:pPr>
        <w:pStyle w:val="5"/>
        <w:bidi w:val="0"/>
        <w:rPr>
          <w:rFonts w:hint="eastAsia"/>
          <w:lang w:eastAsia="zh-CN"/>
        </w:rPr>
      </w:pPr>
      <w:r>
        <w:rPr>
          <w:rFonts w:hint="eastAsia"/>
          <w:lang w:eastAsia="zh-CN"/>
        </w:rPr>
        <w:t>（一）“三公”经费财政拨款支出决算总体情况说明</w:t>
      </w:r>
    </w:p>
    <w:p>
      <w:pPr>
        <w:bidi w:val="0"/>
      </w:pPr>
      <w:r>
        <w:rPr>
          <w:rFonts w:hint="eastAsia"/>
          <w:lang w:eastAsia="zh-CN"/>
        </w:rPr>
        <w:t>2022年“三公”经费财政拨款支出决算为4.94万元，完成预算</w:t>
      </w:r>
      <w:r>
        <w:rPr>
          <w:rFonts w:hint="eastAsia"/>
          <w:lang w:val="en-US" w:eastAsia="zh-CN"/>
        </w:rPr>
        <w:t>78.95</w:t>
      </w:r>
      <w:r>
        <w:rPr>
          <w:rFonts w:hint="eastAsia"/>
          <w:lang w:eastAsia="zh-CN"/>
        </w:rPr>
        <w:t>%，较上年增加</w:t>
      </w:r>
      <w:r>
        <w:rPr>
          <w:rFonts w:hint="eastAsia"/>
          <w:lang w:val="en-US" w:eastAsia="zh-CN"/>
        </w:rPr>
        <w:t>1.74</w:t>
      </w:r>
      <w:r>
        <w:rPr>
          <w:rFonts w:hint="eastAsia"/>
          <w:lang w:eastAsia="zh-CN"/>
        </w:rPr>
        <w:t>万元，增长</w:t>
      </w:r>
      <w:r>
        <w:rPr>
          <w:rFonts w:hint="eastAsia"/>
          <w:lang w:val="en-US" w:eastAsia="zh-CN"/>
        </w:rPr>
        <w:t>54.38</w:t>
      </w:r>
      <w:r>
        <w:rPr>
          <w:rFonts w:hint="eastAsia"/>
          <w:lang w:eastAsia="zh-CN"/>
        </w:rPr>
        <w:t>%。</w:t>
      </w:r>
      <w:r>
        <w:rPr>
          <w:rFonts w:hint="eastAsia"/>
        </w:rPr>
        <w:t>决算数小于预算数的主要原因是</w:t>
      </w:r>
      <w:r>
        <w:rPr>
          <w:rFonts w:hint="eastAsia"/>
          <w:lang w:eastAsia="zh-CN"/>
        </w:rPr>
        <w:t>：年度内未发生公务接待事项。</w:t>
      </w:r>
    </w:p>
    <w:p>
      <w:pPr>
        <w:pStyle w:val="5"/>
        <w:bidi w:val="0"/>
        <w:rPr>
          <w:rFonts w:hint="eastAsia"/>
          <w:lang w:eastAsia="zh-CN"/>
        </w:rPr>
      </w:pPr>
      <w:r>
        <w:rPr>
          <w:rFonts w:hint="eastAsia"/>
          <w:lang w:eastAsia="zh-CN"/>
        </w:rPr>
        <w:t>（二）“三公”经费财政拨款支出决算具体情况说明</w:t>
      </w:r>
    </w:p>
    <w:p>
      <w:pPr>
        <w:bidi w:val="0"/>
        <w:rPr>
          <w:rFonts w:hint="eastAsia"/>
          <w:lang w:eastAsia="zh-CN"/>
        </w:rPr>
      </w:pPr>
      <w:r>
        <w:rPr>
          <w:rFonts w:hint="eastAsia"/>
          <w:lang w:eastAsia="zh-CN"/>
        </w:rPr>
        <w:t>2022年“三公”经费财政拨款支出决算中，因公出国（境）费支出决算</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%；公务用车购置及运行维护费支出决算3.9万元，占</w:t>
      </w:r>
      <w:r>
        <w:rPr>
          <w:rFonts w:hint="eastAsia"/>
          <w:lang w:val="en-US" w:eastAsia="zh-CN"/>
        </w:rPr>
        <w:t>100</w:t>
      </w:r>
      <w:r>
        <w:rPr>
          <w:rFonts w:hint="eastAsia"/>
          <w:lang w:eastAsia="zh-CN"/>
        </w:rPr>
        <w:t>%；公务接待费支出决算</w:t>
      </w:r>
      <w:r>
        <w:rPr>
          <w:rFonts w:hint="eastAsia"/>
          <w:lang w:val="en-US" w:eastAsia="zh-CN"/>
        </w:rPr>
        <w:t>0</w:t>
      </w:r>
      <w:r>
        <w:rPr>
          <w:rFonts w:hint="eastAsia"/>
          <w:lang w:eastAsia="zh-CN"/>
        </w:rPr>
        <w:t>万元，占</w:t>
      </w:r>
      <w:r>
        <w:rPr>
          <w:rFonts w:hint="eastAsia"/>
          <w:lang w:val="en-US" w:eastAsia="zh-CN"/>
        </w:rPr>
        <w:t>0</w:t>
      </w:r>
      <w:r>
        <w:rPr>
          <w:rFonts w:hint="eastAsia"/>
          <w:lang w:eastAsia="zh-CN"/>
        </w:rPr>
        <w:t>%。具体情况如下：</w:t>
      </w:r>
    </w:p>
    <w:p>
      <w:pPr>
        <w:bidi w:val="0"/>
        <w:rPr>
          <w:snapToGrid w:val="0"/>
          <w:spacing w:val="0"/>
          <w:kern w:val="0"/>
        </w:rPr>
      </w:pPr>
      <w:r>
        <w:rPr>
          <w:rFonts w:hint="eastAsia"/>
          <w:snapToGrid w:val="0"/>
          <w:spacing w:val="0"/>
          <w:kern w:val="0"/>
          <w:lang w:eastAsia="zh-CN"/>
        </w:rPr>
        <w:drawing>
          <wp:anchor distT="0" distB="0" distL="114935" distR="114935" simplePos="0" relativeHeight="251666432" behindDoc="0" locked="0" layoutInCell="1" allowOverlap="1">
            <wp:simplePos x="0" y="0"/>
            <wp:positionH relativeFrom="margin">
              <wp:posOffset>336550</wp:posOffset>
            </wp:positionH>
            <wp:positionV relativeFrom="paragraph">
              <wp:posOffset>60325</wp:posOffset>
            </wp:positionV>
            <wp:extent cx="4975860" cy="2845435"/>
            <wp:effectExtent l="4445" t="4445" r="10795" b="762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snapToGrid w:val="0"/>
          <w:spacing w:val="0"/>
          <w:kern w:val="0"/>
        </w:rPr>
        <w:t>1.</w:t>
      </w:r>
      <w:r>
        <w:rPr>
          <w:rFonts w:hint="eastAsia"/>
          <w:snapToGrid w:val="0"/>
          <w:spacing w:val="0"/>
          <w:kern w:val="0"/>
        </w:rPr>
        <w:t>因公出国（境）经费支出</w:t>
      </w:r>
      <w:r>
        <w:rPr>
          <w:rFonts w:hint="eastAsia"/>
          <w:snapToGrid w:val="0"/>
          <w:spacing w:val="0"/>
          <w:kern w:val="0"/>
          <w:lang w:val="en-US" w:eastAsia="zh-CN"/>
        </w:rPr>
        <w:t>0</w:t>
      </w:r>
      <w:r>
        <w:rPr>
          <w:rFonts w:hint="eastAsia"/>
          <w:snapToGrid w:val="0"/>
          <w:spacing w:val="0"/>
          <w:kern w:val="0"/>
        </w:rPr>
        <w:t>万元，完成预算</w:t>
      </w:r>
      <w:r>
        <w:rPr>
          <w:rFonts w:hint="eastAsia"/>
          <w:snapToGrid w:val="0"/>
          <w:spacing w:val="0"/>
          <w:kern w:val="0"/>
          <w:lang w:val="en-US" w:eastAsia="zh-CN"/>
        </w:rPr>
        <w:t>0</w:t>
      </w:r>
      <w:r>
        <w:rPr>
          <w:snapToGrid w:val="0"/>
          <w:spacing w:val="0"/>
          <w:kern w:val="0"/>
        </w:rPr>
        <w:t>%</w:t>
      </w:r>
      <w:r>
        <w:rPr>
          <w:rFonts w:hint="eastAsia"/>
          <w:snapToGrid w:val="0"/>
          <w:spacing w:val="0"/>
          <w:kern w:val="0"/>
        </w:rPr>
        <w:t>。全年安排因公出国（境）团组</w:t>
      </w:r>
      <w:r>
        <w:rPr>
          <w:rFonts w:hint="eastAsia"/>
          <w:snapToGrid w:val="0"/>
          <w:spacing w:val="0"/>
          <w:kern w:val="0"/>
          <w:lang w:val="en-US" w:eastAsia="zh-CN"/>
        </w:rPr>
        <w:t>0</w:t>
      </w:r>
      <w:r>
        <w:rPr>
          <w:rFonts w:hint="eastAsia"/>
          <w:snapToGrid w:val="0"/>
          <w:spacing w:val="0"/>
          <w:kern w:val="0"/>
        </w:rPr>
        <w:t>次，出国（境）</w:t>
      </w:r>
      <w:r>
        <w:rPr>
          <w:rFonts w:hint="eastAsia"/>
          <w:snapToGrid w:val="0"/>
          <w:spacing w:val="0"/>
          <w:kern w:val="0"/>
          <w:lang w:val="en-US" w:eastAsia="zh-CN"/>
        </w:rPr>
        <w:t>0</w:t>
      </w:r>
      <w:r>
        <w:rPr>
          <w:rFonts w:hint="eastAsia"/>
          <w:snapToGrid w:val="0"/>
          <w:spacing w:val="0"/>
          <w:kern w:val="0"/>
        </w:rPr>
        <w:t>人。</w:t>
      </w:r>
    </w:p>
    <w:p>
      <w:pPr>
        <w:bidi w:val="0"/>
        <w:rPr>
          <w:rFonts w:hint="eastAsia"/>
          <w:lang w:eastAsia="zh-CN"/>
        </w:rPr>
      </w:pPr>
      <w:r>
        <w:rPr>
          <w:rFonts w:hint="eastAsia"/>
          <w:lang w:eastAsia="zh-CN"/>
        </w:rPr>
        <w:t>2.公务用车购置及运行维护费支出3.9万元，完成预算</w:t>
      </w:r>
      <w:r>
        <w:rPr>
          <w:rFonts w:hint="eastAsia"/>
          <w:lang w:val="en-US" w:eastAsia="zh-CN"/>
        </w:rPr>
        <w:t>100</w:t>
      </w:r>
      <w:r>
        <w:rPr>
          <w:rFonts w:hint="eastAsia"/>
          <w:lang w:eastAsia="zh-CN"/>
        </w:rPr>
        <w:t>%。公务用车购置及运行维护费支出决算比202</w:t>
      </w:r>
      <w:r>
        <w:rPr>
          <w:rFonts w:hint="eastAsia"/>
          <w:lang w:val="en-US" w:eastAsia="zh-CN"/>
        </w:rPr>
        <w:t>1</w:t>
      </w:r>
      <w:r>
        <w:rPr>
          <w:rFonts w:hint="eastAsia"/>
          <w:lang w:eastAsia="zh-CN"/>
        </w:rPr>
        <w:t>年增加</w:t>
      </w:r>
      <w:r>
        <w:rPr>
          <w:rFonts w:hint="eastAsia"/>
          <w:lang w:val="en-US" w:eastAsia="zh-CN"/>
        </w:rPr>
        <w:t>0.7</w:t>
      </w:r>
      <w:r>
        <w:rPr>
          <w:rFonts w:hint="eastAsia"/>
          <w:lang w:eastAsia="zh-CN"/>
        </w:rPr>
        <w:t>万元，增长</w:t>
      </w:r>
      <w:r>
        <w:rPr>
          <w:rFonts w:hint="eastAsia"/>
          <w:lang w:val="en-US" w:eastAsia="zh-CN"/>
        </w:rPr>
        <w:t>21.88</w:t>
      </w:r>
      <w:r>
        <w:rPr>
          <w:rFonts w:hint="eastAsia"/>
          <w:lang w:eastAsia="zh-CN"/>
        </w:rPr>
        <w:t>%。主要原因是20</w:t>
      </w:r>
      <w:r>
        <w:rPr>
          <w:rFonts w:hint="eastAsia"/>
          <w:lang w:val="en-US" w:eastAsia="zh-CN"/>
        </w:rPr>
        <w:t>22</w:t>
      </w:r>
      <w:r>
        <w:rPr>
          <w:rFonts w:hint="eastAsia"/>
          <w:lang w:eastAsia="zh-CN"/>
        </w:rPr>
        <w:t>年度加大了市场执法检查力度，强化案件查办，车辆使用频次较大，运行成本有所增加。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snapToGrid w:val="0"/>
          <w:spacing w:val="0"/>
          <w:kern w:val="0"/>
          <w:lang w:eastAsia="zh-CN"/>
        </w:rPr>
      </w:pPr>
      <w:r>
        <w:rPr>
          <w:rFonts w:hint="eastAsia"/>
          <w:snapToGrid w:val="0"/>
          <w:spacing w:val="0"/>
          <w:kern w:val="0"/>
          <w:lang w:eastAsia="zh-CN"/>
        </w:rPr>
        <w:t>其中：公务用车购置支出0万元。全年全年按规定更新购置公务用车</w:t>
      </w:r>
      <w:r>
        <w:rPr>
          <w:rFonts w:hint="eastAsia"/>
          <w:snapToGrid w:val="0"/>
          <w:spacing w:val="0"/>
          <w:kern w:val="0"/>
          <w:lang w:val="en-US" w:eastAsia="zh-CN"/>
        </w:rPr>
        <w:t>0</w:t>
      </w:r>
      <w:r>
        <w:rPr>
          <w:rFonts w:hint="eastAsia"/>
          <w:snapToGrid w:val="0"/>
          <w:spacing w:val="0"/>
          <w:kern w:val="0"/>
          <w:lang w:eastAsia="zh-CN"/>
        </w:rPr>
        <w:t>辆，其中：轿车</w:t>
      </w:r>
      <w:r>
        <w:rPr>
          <w:rFonts w:hint="eastAsia"/>
          <w:snapToGrid w:val="0"/>
          <w:spacing w:val="0"/>
          <w:kern w:val="0"/>
          <w:lang w:val="en-US" w:eastAsia="zh-CN"/>
        </w:rPr>
        <w:t>0</w:t>
      </w:r>
      <w:r>
        <w:rPr>
          <w:rFonts w:hint="eastAsia"/>
          <w:snapToGrid w:val="0"/>
          <w:spacing w:val="0"/>
          <w:kern w:val="0"/>
          <w:lang w:eastAsia="zh-CN"/>
        </w:rPr>
        <w:t>辆、金额</w:t>
      </w:r>
      <w:r>
        <w:rPr>
          <w:rFonts w:hint="eastAsia"/>
          <w:snapToGrid w:val="0"/>
          <w:spacing w:val="0"/>
          <w:kern w:val="0"/>
          <w:lang w:val="en-US" w:eastAsia="zh-CN"/>
        </w:rPr>
        <w:t>0</w:t>
      </w:r>
      <w:r>
        <w:rPr>
          <w:rFonts w:hint="eastAsia"/>
          <w:snapToGrid w:val="0"/>
          <w:spacing w:val="0"/>
          <w:kern w:val="0"/>
          <w:lang w:eastAsia="zh-CN"/>
        </w:rPr>
        <w:t>万元，越野车</w:t>
      </w:r>
      <w:r>
        <w:rPr>
          <w:rFonts w:hint="eastAsia"/>
          <w:snapToGrid w:val="0"/>
          <w:spacing w:val="0"/>
          <w:kern w:val="0"/>
          <w:lang w:val="en-US" w:eastAsia="zh-CN"/>
        </w:rPr>
        <w:t>0</w:t>
      </w:r>
      <w:r>
        <w:rPr>
          <w:rFonts w:hint="eastAsia"/>
          <w:snapToGrid w:val="0"/>
          <w:spacing w:val="0"/>
          <w:kern w:val="0"/>
          <w:lang w:eastAsia="zh-CN"/>
        </w:rPr>
        <w:t>辆、金额</w:t>
      </w:r>
      <w:r>
        <w:rPr>
          <w:rFonts w:hint="eastAsia"/>
          <w:snapToGrid w:val="0"/>
          <w:spacing w:val="0"/>
          <w:kern w:val="0"/>
          <w:lang w:val="en-US" w:eastAsia="zh-CN"/>
        </w:rPr>
        <w:t>0</w:t>
      </w:r>
      <w:r>
        <w:rPr>
          <w:rFonts w:hint="eastAsia"/>
          <w:snapToGrid w:val="0"/>
          <w:spacing w:val="0"/>
          <w:kern w:val="0"/>
          <w:lang w:eastAsia="zh-CN"/>
        </w:rPr>
        <w:t>万元，载客汽车</w:t>
      </w:r>
      <w:r>
        <w:rPr>
          <w:rFonts w:hint="eastAsia"/>
          <w:snapToGrid w:val="0"/>
          <w:spacing w:val="0"/>
          <w:kern w:val="0"/>
          <w:lang w:val="en-US" w:eastAsia="zh-CN"/>
        </w:rPr>
        <w:t>0</w:t>
      </w:r>
      <w:r>
        <w:rPr>
          <w:rFonts w:hint="eastAsia"/>
          <w:snapToGrid w:val="0"/>
          <w:spacing w:val="0"/>
          <w:kern w:val="0"/>
          <w:lang w:eastAsia="zh-CN"/>
        </w:rPr>
        <w:t>辆、金额</w:t>
      </w:r>
      <w:r>
        <w:rPr>
          <w:rFonts w:hint="eastAsia"/>
          <w:snapToGrid w:val="0"/>
          <w:spacing w:val="0"/>
          <w:kern w:val="0"/>
          <w:lang w:val="en-US" w:eastAsia="zh-CN"/>
        </w:rPr>
        <w:t>0</w:t>
      </w:r>
      <w:r>
        <w:rPr>
          <w:rFonts w:hint="eastAsia"/>
          <w:snapToGrid w:val="0"/>
          <w:spacing w:val="0"/>
          <w:kern w:val="0"/>
          <w:lang w:eastAsia="zh-CN"/>
        </w:rPr>
        <w:t>万元。截至202</w:t>
      </w:r>
      <w:r>
        <w:rPr>
          <w:rFonts w:hint="eastAsia"/>
          <w:snapToGrid w:val="0"/>
          <w:spacing w:val="0"/>
          <w:kern w:val="0"/>
          <w:lang w:val="en-US" w:eastAsia="zh-CN"/>
        </w:rPr>
        <w:t>2</w:t>
      </w:r>
      <w:r>
        <w:rPr>
          <w:rFonts w:hint="eastAsia"/>
          <w:snapToGrid w:val="0"/>
          <w:spacing w:val="0"/>
          <w:kern w:val="0"/>
          <w:lang w:eastAsia="zh-CN"/>
        </w:rPr>
        <w:t>年12月底，单位</w:t>
      </w:r>
      <w:r>
        <w:rPr>
          <w:rFonts w:hint="eastAsia"/>
          <w:snapToGrid w:val="0"/>
          <w:spacing w:val="-6"/>
          <w:kern w:val="0"/>
          <w:sz w:val="32"/>
          <w:lang w:eastAsia="zh-CN"/>
        </w:rPr>
        <w:t>共有公务用车1辆，其中：轿车</w:t>
      </w:r>
      <w:r>
        <w:rPr>
          <w:rFonts w:hint="eastAsia"/>
          <w:snapToGrid w:val="0"/>
          <w:spacing w:val="-6"/>
          <w:kern w:val="0"/>
          <w:sz w:val="32"/>
          <w:lang w:val="en-US" w:eastAsia="zh-CN"/>
        </w:rPr>
        <w:t>0</w:t>
      </w:r>
      <w:r>
        <w:rPr>
          <w:rFonts w:hint="eastAsia"/>
          <w:snapToGrid w:val="0"/>
          <w:spacing w:val="-6"/>
          <w:kern w:val="0"/>
          <w:sz w:val="32"/>
          <w:lang w:eastAsia="zh-CN"/>
        </w:rPr>
        <w:t>辆、越野车1辆、载客汽车</w:t>
      </w:r>
      <w:r>
        <w:rPr>
          <w:rFonts w:hint="eastAsia"/>
          <w:snapToGrid w:val="0"/>
          <w:spacing w:val="-6"/>
          <w:kern w:val="0"/>
          <w:sz w:val="32"/>
          <w:lang w:val="en-US" w:eastAsia="zh-CN"/>
        </w:rPr>
        <w:t>0</w:t>
      </w:r>
      <w:r>
        <w:rPr>
          <w:rFonts w:hint="eastAsia"/>
          <w:snapToGrid w:val="0"/>
          <w:spacing w:val="-6"/>
          <w:kern w:val="0"/>
          <w:sz w:val="32"/>
          <w:lang w:eastAsia="zh-CN"/>
        </w:rPr>
        <w:t>辆。</w:t>
      </w:r>
    </w:p>
    <w:p>
      <w:pPr>
        <w:bidi w:val="0"/>
        <w:rPr>
          <w:rFonts w:hint="eastAsia"/>
          <w:lang w:eastAsia="zh-CN"/>
        </w:rPr>
      </w:pPr>
      <w:r>
        <w:rPr>
          <w:rFonts w:hint="eastAsia"/>
          <w:lang w:eastAsia="zh-CN"/>
        </w:rPr>
        <w:t>公务用车运行维护费支出3.</w:t>
      </w:r>
      <w:r>
        <w:rPr>
          <w:rFonts w:hint="eastAsia"/>
          <w:lang w:val="en-US" w:eastAsia="zh-CN"/>
        </w:rPr>
        <w:t>9</w:t>
      </w:r>
      <w:r>
        <w:rPr>
          <w:rFonts w:hint="eastAsia"/>
          <w:lang w:eastAsia="zh-CN"/>
        </w:rPr>
        <w:t>万元。主要用于市场监管领域执法检查、日常工作、重大活动保障等工作所需的公务用车燃料费、维修费、过路过桥费、保险费、停车费等支出。</w:t>
      </w:r>
    </w:p>
    <w:p>
      <w:pPr>
        <w:bidi w:val="0"/>
        <w:rPr>
          <w:rFonts w:hint="eastAsia"/>
          <w:lang w:eastAsia="zh-CN"/>
        </w:rPr>
      </w:pPr>
      <w:r>
        <w:rPr>
          <w:rFonts w:hint="eastAsia"/>
          <w:lang w:eastAsia="zh-CN"/>
        </w:rPr>
        <w:t>3.公务接待费支出</w:t>
      </w:r>
      <w:r>
        <w:rPr>
          <w:rFonts w:hint="eastAsia"/>
          <w:lang w:val="en-US" w:eastAsia="zh-CN"/>
        </w:rPr>
        <w:t>0</w:t>
      </w:r>
      <w:r>
        <w:rPr>
          <w:rFonts w:hint="eastAsia"/>
          <w:lang w:eastAsia="zh-CN"/>
        </w:rPr>
        <w:t>万元，完成预算</w:t>
      </w:r>
      <w:r>
        <w:rPr>
          <w:rFonts w:hint="eastAsia"/>
          <w:lang w:val="en-US" w:eastAsia="zh-CN"/>
        </w:rPr>
        <w:t>0</w:t>
      </w:r>
      <w:r>
        <w:rPr>
          <w:rFonts w:hint="eastAsia"/>
          <w:lang w:eastAsia="zh-CN"/>
        </w:rPr>
        <w:t>%。公务接待费支出决算比202</w:t>
      </w:r>
      <w:r>
        <w:rPr>
          <w:rFonts w:hint="eastAsia"/>
          <w:lang w:val="en-US" w:eastAsia="zh-CN"/>
        </w:rPr>
        <w:t>1</w:t>
      </w:r>
      <w:r>
        <w:rPr>
          <w:rFonts w:hint="eastAsia"/>
          <w:lang w:eastAsia="zh-CN"/>
        </w:rPr>
        <w:t>年减少</w:t>
      </w:r>
      <w:r>
        <w:rPr>
          <w:rFonts w:hint="eastAsia"/>
          <w:lang w:val="en-US" w:eastAsia="zh-CN"/>
        </w:rPr>
        <w:t>0.09</w:t>
      </w:r>
      <w:r>
        <w:rPr>
          <w:rFonts w:hint="eastAsia"/>
          <w:lang w:eastAsia="zh-CN"/>
        </w:rPr>
        <w:t>万元，</w:t>
      </w:r>
      <w:r>
        <w:rPr>
          <w:rFonts w:hint="eastAsia"/>
        </w:rPr>
        <w:t>下降</w:t>
      </w:r>
      <w:r>
        <w:rPr>
          <w:rFonts w:hint="eastAsia"/>
          <w:lang w:val="en-US" w:eastAsia="zh-CN"/>
        </w:rPr>
        <w:t>100</w:t>
      </w:r>
      <w:r>
        <w:t>%</w:t>
      </w:r>
      <w:r>
        <w:rPr>
          <w:rFonts w:hint="eastAsia"/>
        </w:rPr>
        <w:t>。</w:t>
      </w:r>
      <w:r>
        <w:rPr>
          <w:rFonts w:hint="eastAsia"/>
          <w:lang w:eastAsia="zh-CN"/>
        </w:rPr>
        <w:t>主要原因是年度内未发生公务接待事项。</w:t>
      </w:r>
    </w:p>
    <w:p>
      <w:pPr>
        <w:bidi w:val="0"/>
        <w:rPr>
          <w:rFonts w:hint="eastAsia"/>
          <w:lang w:eastAsia="zh-CN"/>
        </w:rPr>
      </w:pPr>
      <w:r>
        <w:rPr>
          <w:rFonts w:hint="eastAsia"/>
          <w:lang w:eastAsia="zh-CN"/>
        </w:rPr>
        <w:t>国内公务接待支出</w:t>
      </w:r>
      <w:r>
        <w:rPr>
          <w:rFonts w:hint="eastAsia"/>
          <w:lang w:val="en-US" w:eastAsia="zh-CN"/>
        </w:rPr>
        <w:t>0</w:t>
      </w:r>
      <w:r>
        <w:rPr>
          <w:rFonts w:hint="eastAsia"/>
          <w:lang w:eastAsia="zh-CN"/>
        </w:rPr>
        <w:t>万元。国内公务接待</w:t>
      </w:r>
      <w:r>
        <w:rPr>
          <w:rFonts w:hint="eastAsia"/>
          <w:lang w:val="en-US" w:eastAsia="zh-CN"/>
        </w:rPr>
        <w:t>0</w:t>
      </w:r>
      <w:r>
        <w:rPr>
          <w:rFonts w:hint="eastAsia"/>
          <w:lang w:eastAsia="zh-CN"/>
        </w:rPr>
        <w:t>批次，</w:t>
      </w:r>
      <w:r>
        <w:rPr>
          <w:rFonts w:hint="eastAsia"/>
          <w:lang w:val="en-US" w:eastAsia="zh-CN"/>
        </w:rPr>
        <w:t>0</w:t>
      </w:r>
      <w:r>
        <w:rPr>
          <w:rFonts w:hint="eastAsia"/>
          <w:lang w:eastAsia="zh-CN"/>
        </w:rPr>
        <w:t>人次（不包括陪同人员），共计支出</w:t>
      </w:r>
      <w:r>
        <w:rPr>
          <w:rFonts w:hint="eastAsia"/>
          <w:lang w:val="en-US" w:eastAsia="zh-CN"/>
        </w:rPr>
        <w:t>0</w:t>
      </w:r>
      <w:r>
        <w:rPr>
          <w:rFonts w:hint="eastAsia"/>
          <w:lang w:eastAsia="zh-CN"/>
        </w:rPr>
        <w:t>万元。</w:t>
      </w:r>
    </w:p>
    <w:p>
      <w:pPr>
        <w:bidi w:val="0"/>
        <w:rPr>
          <w:rFonts w:hint="eastAsia"/>
          <w:lang w:eastAsia="zh-CN"/>
        </w:rPr>
      </w:pPr>
      <w:r>
        <w:rPr>
          <w:rFonts w:hint="eastAsia"/>
          <w:lang w:eastAsia="zh-CN"/>
        </w:rPr>
        <w:t>外事接待支出</w:t>
      </w:r>
      <w:r>
        <w:rPr>
          <w:rFonts w:hint="eastAsia"/>
          <w:lang w:val="en-US" w:eastAsia="zh-CN"/>
        </w:rPr>
        <w:t>0</w:t>
      </w:r>
      <w:r>
        <w:rPr>
          <w:rFonts w:hint="eastAsia"/>
          <w:lang w:eastAsia="zh-CN"/>
        </w:rPr>
        <w:t>万元。外事接待</w:t>
      </w:r>
      <w:r>
        <w:rPr>
          <w:rFonts w:hint="eastAsia"/>
          <w:lang w:val="en-US" w:eastAsia="zh-CN"/>
        </w:rPr>
        <w:t>0</w:t>
      </w:r>
      <w:r>
        <w:rPr>
          <w:rFonts w:hint="eastAsia"/>
          <w:lang w:eastAsia="zh-CN"/>
        </w:rPr>
        <w:t>批次，</w:t>
      </w:r>
      <w:r>
        <w:rPr>
          <w:rFonts w:hint="eastAsia"/>
          <w:lang w:val="en-US" w:eastAsia="zh-CN"/>
        </w:rPr>
        <w:t>0</w:t>
      </w:r>
      <w:r>
        <w:rPr>
          <w:rFonts w:hint="eastAsia"/>
          <w:lang w:eastAsia="zh-CN"/>
        </w:rPr>
        <w:t>人次（不包括陪同人员），共计支出</w:t>
      </w:r>
      <w:r>
        <w:rPr>
          <w:rFonts w:hint="eastAsia"/>
          <w:lang w:val="en-US" w:eastAsia="zh-CN"/>
        </w:rPr>
        <w:t>0</w:t>
      </w:r>
      <w:r>
        <w:rPr>
          <w:rFonts w:hint="eastAsia"/>
          <w:lang w:eastAsia="zh-CN"/>
        </w:rPr>
        <w:t>万元。</w:t>
      </w:r>
    </w:p>
    <w:p>
      <w:pPr>
        <w:pStyle w:val="4"/>
        <w:bidi w:val="0"/>
        <w:rPr>
          <w:rFonts w:hint="eastAsia"/>
          <w:lang w:eastAsia="zh-CN"/>
        </w:rPr>
      </w:pPr>
      <w:bookmarkStart w:id="33" w:name="_Toc28702"/>
      <w:r>
        <w:rPr>
          <w:rFonts w:hint="eastAsia"/>
          <w:lang w:eastAsia="zh-CN"/>
        </w:rPr>
        <w:t>八、政府性基金预算支出决算情况说明</w:t>
      </w:r>
      <w:bookmarkEnd w:id="33"/>
    </w:p>
    <w:p>
      <w:pPr>
        <w:bidi w:val="0"/>
        <w:rPr>
          <w:rFonts w:hint="eastAsia"/>
          <w:lang w:eastAsia="zh-CN"/>
        </w:rPr>
      </w:pPr>
      <w:r>
        <w:rPr>
          <w:rFonts w:hint="eastAsia"/>
          <w:lang w:eastAsia="zh-CN"/>
        </w:rPr>
        <w:t>2022年政府性基金预算财政拨款支出</w:t>
      </w:r>
      <w:r>
        <w:rPr>
          <w:rFonts w:hint="eastAsia"/>
          <w:lang w:val="en-US" w:eastAsia="zh-CN"/>
        </w:rPr>
        <w:t>0</w:t>
      </w:r>
      <w:r>
        <w:rPr>
          <w:rFonts w:hint="eastAsia"/>
          <w:lang w:eastAsia="zh-CN"/>
        </w:rPr>
        <w:t>万元。</w:t>
      </w:r>
    </w:p>
    <w:p>
      <w:pPr>
        <w:pStyle w:val="4"/>
        <w:bidi w:val="0"/>
        <w:rPr>
          <w:rFonts w:hint="eastAsia"/>
          <w:lang w:eastAsia="zh-CN"/>
        </w:rPr>
      </w:pPr>
      <w:bookmarkStart w:id="34" w:name="_Toc22040"/>
      <w:r>
        <w:rPr>
          <w:rFonts w:hint="eastAsia"/>
          <w:lang w:eastAsia="zh-CN"/>
        </w:rPr>
        <w:t>九、国有资本经营预算支出决算情况说明</w:t>
      </w:r>
      <w:bookmarkEnd w:id="34"/>
    </w:p>
    <w:p>
      <w:pPr>
        <w:bidi w:val="0"/>
        <w:rPr>
          <w:rFonts w:hint="eastAsia"/>
          <w:lang w:eastAsia="zh-CN"/>
        </w:rPr>
      </w:pPr>
      <w:r>
        <w:rPr>
          <w:rFonts w:hint="eastAsia"/>
          <w:lang w:eastAsia="zh-CN"/>
        </w:rPr>
        <w:t>2022年国有资本经营预算财政拨款支出</w:t>
      </w:r>
      <w:r>
        <w:rPr>
          <w:rFonts w:hint="eastAsia"/>
          <w:lang w:val="en-US" w:eastAsia="zh-CN"/>
        </w:rPr>
        <w:t>0</w:t>
      </w:r>
      <w:r>
        <w:rPr>
          <w:rFonts w:hint="eastAsia"/>
          <w:lang w:eastAsia="zh-CN"/>
        </w:rPr>
        <w:t>万元。</w:t>
      </w:r>
    </w:p>
    <w:p>
      <w:pPr>
        <w:pStyle w:val="4"/>
        <w:bidi w:val="0"/>
        <w:rPr>
          <w:rFonts w:hint="eastAsia"/>
          <w:lang w:eastAsia="zh-CN"/>
        </w:rPr>
      </w:pPr>
      <w:bookmarkStart w:id="35" w:name="_Toc1529"/>
      <w:r>
        <w:rPr>
          <w:rFonts w:hint="eastAsia"/>
          <w:lang w:eastAsia="zh-CN"/>
        </w:rPr>
        <w:t>十、其他重要事项的情况说明</w:t>
      </w:r>
      <w:bookmarkEnd w:id="35"/>
    </w:p>
    <w:p>
      <w:pPr>
        <w:pStyle w:val="5"/>
        <w:bidi w:val="0"/>
        <w:rPr>
          <w:rFonts w:hint="eastAsia"/>
          <w:lang w:eastAsia="zh-CN"/>
        </w:rPr>
      </w:pPr>
      <w:r>
        <w:rPr>
          <w:rFonts w:hint="eastAsia"/>
          <w:lang w:eastAsia="zh-CN"/>
        </w:rPr>
        <w:t>（一）机关运行经费支出情况</w:t>
      </w:r>
    </w:p>
    <w:p>
      <w:pPr>
        <w:bidi w:val="0"/>
        <w:rPr>
          <w:rFonts w:hint="eastAsia"/>
          <w:lang w:eastAsia="zh-CN"/>
        </w:rPr>
      </w:pPr>
      <w:r>
        <w:rPr>
          <w:rFonts w:hint="eastAsia"/>
          <w:lang w:eastAsia="zh-CN"/>
        </w:rPr>
        <w:t>2022年，巴中市市场监管综合行政执法支队机关运行经费支出</w:t>
      </w:r>
      <w:r>
        <w:rPr>
          <w:rFonts w:hint="eastAsia"/>
          <w:lang w:val="en-US" w:eastAsia="zh-CN"/>
        </w:rPr>
        <w:t>72.17</w:t>
      </w:r>
      <w:r>
        <w:rPr>
          <w:rFonts w:hint="eastAsia"/>
          <w:lang w:eastAsia="zh-CN"/>
        </w:rPr>
        <w:t>万元，比2021年增加</w:t>
      </w:r>
      <w:r>
        <w:rPr>
          <w:rFonts w:hint="eastAsia"/>
          <w:lang w:val="en-US" w:eastAsia="zh-CN"/>
        </w:rPr>
        <w:t>41.91</w:t>
      </w:r>
      <w:r>
        <w:rPr>
          <w:rFonts w:hint="eastAsia"/>
          <w:lang w:eastAsia="zh-CN"/>
        </w:rPr>
        <w:t>万元，增长</w:t>
      </w:r>
      <w:r>
        <w:rPr>
          <w:rFonts w:hint="eastAsia"/>
          <w:lang w:val="en-US" w:eastAsia="zh-CN"/>
        </w:rPr>
        <w:t>138</w:t>
      </w:r>
      <w:r>
        <w:rPr>
          <w:rFonts w:hint="eastAsia"/>
          <w:lang w:eastAsia="zh-CN"/>
        </w:rPr>
        <w:t>%。主要原因是公用经费投入进一步加强，强化公用支出的支付力度。</w:t>
      </w:r>
    </w:p>
    <w:p>
      <w:pPr>
        <w:pStyle w:val="5"/>
        <w:bidi w:val="0"/>
        <w:rPr>
          <w:rFonts w:hint="eastAsia"/>
          <w:lang w:eastAsia="zh-CN"/>
        </w:rPr>
      </w:pPr>
      <w:r>
        <w:rPr>
          <w:rFonts w:hint="eastAsia"/>
          <w:lang w:eastAsia="zh-CN"/>
        </w:rPr>
        <w:t>（二）政府采购支出情况</w:t>
      </w:r>
    </w:p>
    <w:p>
      <w:pPr>
        <w:bidi w:val="0"/>
        <w:rPr>
          <w:rFonts w:hint="eastAsia"/>
          <w:lang w:eastAsia="zh-CN"/>
        </w:rPr>
      </w:pPr>
      <w:r>
        <w:rPr>
          <w:rFonts w:hint="eastAsia"/>
          <w:lang w:eastAsia="zh-CN"/>
        </w:rPr>
        <w:t>2022年，巴中市市场监管综合行政执法支队政府采购支出总额</w:t>
      </w:r>
      <w:r>
        <w:rPr>
          <w:rFonts w:hint="eastAsia"/>
          <w:lang w:val="en-US" w:eastAsia="zh-CN"/>
        </w:rPr>
        <w:t>0</w:t>
      </w:r>
      <w:r>
        <w:rPr>
          <w:rFonts w:hint="eastAsia"/>
          <w:lang w:eastAsia="zh-CN"/>
        </w:rPr>
        <w:t>万元，其中：政府采购货物支出</w:t>
      </w:r>
      <w:r>
        <w:rPr>
          <w:rFonts w:hint="eastAsia"/>
          <w:lang w:val="en-US" w:eastAsia="zh-CN"/>
        </w:rPr>
        <w:t>0万</w:t>
      </w:r>
      <w:r>
        <w:rPr>
          <w:rFonts w:hint="eastAsia"/>
          <w:lang w:eastAsia="zh-CN"/>
        </w:rPr>
        <w:t>元、政府采购工程支出</w:t>
      </w:r>
      <w:r>
        <w:rPr>
          <w:rFonts w:hint="eastAsia"/>
          <w:lang w:val="en-US" w:eastAsia="zh-CN"/>
        </w:rPr>
        <w:t>0</w:t>
      </w:r>
      <w:r>
        <w:rPr>
          <w:rFonts w:hint="eastAsia"/>
          <w:lang w:eastAsia="zh-CN"/>
        </w:rPr>
        <w:t>万元、政府采购服务支出</w:t>
      </w:r>
      <w:r>
        <w:rPr>
          <w:rFonts w:hint="eastAsia"/>
          <w:lang w:val="en-US" w:eastAsia="zh-CN"/>
        </w:rPr>
        <w:t>0</w:t>
      </w:r>
      <w:r>
        <w:rPr>
          <w:rFonts w:hint="eastAsia"/>
          <w:lang w:eastAsia="zh-CN"/>
        </w:rPr>
        <w:t>万元。授予中小企业合同金额</w:t>
      </w:r>
      <w:r>
        <w:rPr>
          <w:rFonts w:hint="eastAsia"/>
          <w:lang w:val="en-US" w:eastAsia="zh-CN"/>
        </w:rPr>
        <w:t>0</w:t>
      </w:r>
      <w:r>
        <w:rPr>
          <w:rFonts w:hint="eastAsia"/>
          <w:lang w:eastAsia="zh-CN"/>
        </w:rPr>
        <w:t>万元，占政府采购支出总额的</w:t>
      </w:r>
      <w:r>
        <w:rPr>
          <w:rFonts w:hint="eastAsia"/>
          <w:lang w:val="en-US" w:eastAsia="zh-CN"/>
        </w:rPr>
        <w:t>0</w:t>
      </w:r>
      <w:r>
        <w:rPr>
          <w:rFonts w:hint="eastAsia"/>
          <w:lang w:eastAsia="zh-CN"/>
        </w:rPr>
        <w:t>%，其中：授予小微企业合同金</w:t>
      </w:r>
      <w:bookmarkStart w:id="52" w:name="_GoBack"/>
      <w:bookmarkEnd w:id="52"/>
      <w:r>
        <w:rPr>
          <w:rFonts w:hint="eastAsia"/>
          <w:lang w:eastAsia="zh-CN"/>
        </w:rPr>
        <w:t>额</w:t>
      </w:r>
      <w:r>
        <w:rPr>
          <w:rFonts w:hint="eastAsia"/>
          <w:lang w:val="en-US" w:eastAsia="zh-CN"/>
        </w:rPr>
        <w:t>0</w:t>
      </w:r>
      <w:r>
        <w:rPr>
          <w:rFonts w:hint="eastAsia"/>
          <w:lang w:eastAsia="zh-CN"/>
        </w:rPr>
        <w:t>万元，占政府采购支出总额的</w:t>
      </w:r>
      <w:r>
        <w:rPr>
          <w:rFonts w:hint="eastAsia"/>
          <w:lang w:val="en-US" w:eastAsia="zh-CN"/>
        </w:rPr>
        <w:t>0</w:t>
      </w:r>
      <w:r>
        <w:rPr>
          <w:rFonts w:hint="eastAsia"/>
          <w:lang w:eastAsia="zh-CN"/>
        </w:rPr>
        <w:t>%。</w:t>
      </w:r>
    </w:p>
    <w:p>
      <w:pPr>
        <w:pStyle w:val="5"/>
        <w:bidi w:val="0"/>
        <w:rPr>
          <w:rFonts w:hint="eastAsia"/>
          <w:lang w:eastAsia="zh-CN"/>
        </w:rPr>
      </w:pPr>
      <w:r>
        <w:rPr>
          <w:rFonts w:hint="eastAsia"/>
          <w:lang w:eastAsia="zh-CN"/>
        </w:rPr>
        <w:t>（三）国有资产占有使用情况</w:t>
      </w:r>
    </w:p>
    <w:p>
      <w:pPr>
        <w:bidi w:val="0"/>
        <w:rPr>
          <w:rFonts w:hint="eastAsia"/>
          <w:lang w:eastAsia="zh-CN"/>
        </w:rPr>
      </w:pPr>
      <w:r>
        <w:rPr>
          <w:rFonts w:hint="eastAsia"/>
          <w:lang w:eastAsia="zh-CN"/>
        </w:rPr>
        <w:t>截至202</w:t>
      </w:r>
      <w:r>
        <w:rPr>
          <w:rFonts w:hint="eastAsia"/>
          <w:lang w:val="en-US" w:eastAsia="zh-CN"/>
        </w:rPr>
        <w:t>2</w:t>
      </w:r>
      <w:r>
        <w:rPr>
          <w:rFonts w:hint="eastAsia"/>
          <w:lang w:eastAsia="zh-CN"/>
        </w:rPr>
        <w:t>年12月31日，巴中市市场监管综合行政执法支队共有车辆1辆，其中：其他用车1辆，其他用车主要是用于全市市场执法监督检查工作。单价50万元以上通用设备0台（套），单价100万元以上专用设备0台（套）。</w:t>
      </w:r>
    </w:p>
    <w:p>
      <w:pPr>
        <w:pStyle w:val="5"/>
        <w:bidi w:val="0"/>
        <w:rPr>
          <w:rFonts w:hint="eastAsia"/>
          <w:lang w:eastAsia="zh-CN"/>
        </w:rPr>
      </w:pPr>
      <w:r>
        <w:rPr>
          <w:rFonts w:hint="eastAsia"/>
          <w:lang w:eastAsia="zh-CN"/>
        </w:rPr>
        <w:t>（四）预算绩效管理情况</w:t>
      </w:r>
    </w:p>
    <w:p>
      <w:pPr>
        <w:bidi w:val="0"/>
        <w:rPr>
          <w:rFonts w:hint="eastAsia"/>
          <w:color w:val="auto"/>
          <w:lang w:eastAsia="zh-CN"/>
        </w:rPr>
      </w:pPr>
      <w:r>
        <w:rPr>
          <w:rFonts w:hint="eastAsia"/>
          <w:color w:val="auto"/>
          <w:lang w:eastAsia="zh-CN"/>
        </w:rPr>
        <w:t>根据预算绩效管理要求，本单位在2022年度预算编制阶段，组织对一般行政管理事务、党建经费、职工体检费、离退休干部活动经费、食堂运行经费、市场主体管理、2021年省级市场监管资金、市场秩序执法、市场监管综合行政执法办案经费、药品事务、中央药品监管补助资金、其他市场监督管理事务、2022年省级市场监管补助资金（春雷行动）、中央食品监管补助资金等</w:t>
      </w:r>
      <w:r>
        <w:rPr>
          <w:rFonts w:hint="eastAsia"/>
          <w:color w:val="auto"/>
          <w:lang w:val="en-US" w:eastAsia="zh-CN"/>
        </w:rPr>
        <w:t>24</w:t>
      </w:r>
      <w:r>
        <w:rPr>
          <w:rFonts w:hint="eastAsia"/>
          <w:color w:val="auto"/>
          <w:lang w:eastAsia="zh-CN"/>
        </w:rPr>
        <w:t>个项目开展了预算事前绩效评估，对</w:t>
      </w:r>
      <w:r>
        <w:rPr>
          <w:rFonts w:hint="eastAsia"/>
          <w:color w:val="auto"/>
          <w:lang w:val="en-US" w:eastAsia="zh-CN"/>
        </w:rPr>
        <w:t>24</w:t>
      </w:r>
      <w:r>
        <w:rPr>
          <w:rFonts w:hint="eastAsia"/>
          <w:color w:val="auto"/>
          <w:lang w:eastAsia="zh-CN"/>
        </w:rPr>
        <w:t>个项目编制了绩效</w:t>
      </w:r>
      <w:r>
        <w:rPr>
          <w:rFonts w:hint="eastAsia"/>
          <w:color w:val="auto"/>
          <w:highlight w:val="none"/>
          <w:lang w:eastAsia="zh-CN"/>
        </w:rPr>
        <w:t>目标，预算执行过程中，选取</w:t>
      </w:r>
      <w:r>
        <w:rPr>
          <w:rFonts w:hint="eastAsia"/>
          <w:color w:val="auto"/>
          <w:highlight w:val="none"/>
          <w:lang w:val="en-US" w:eastAsia="zh-CN"/>
        </w:rPr>
        <w:t>5</w:t>
      </w:r>
      <w:r>
        <w:rPr>
          <w:rFonts w:hint="eastAsia"/>
          <w:color w:val="auto"/>
          <w:highlight w:val="none"/>
          <w:lang w:eastAsia="zh-CN"/>
        </w:rPr>
        <w:t>个项目开展绩效监控，组织对</w:t>
      </w:r>
      <w:r>
        <w:rPr>
          <w:rFonts w:hint="eastAsia"/>
          <w:color w:val="auto"/>
          <w:highlight w:val="none"/>
          <w:lang w:val="en-US" w:eastAsia="zh-CN"/>
        </w:rPr>
        <w:t>5</w:t>
      </w:r>
      <w:r>
        <w:rPr>
          <w:rFonts w:hint="eastAsia"/>
          <w:color w:val="auto"/>
          <w:highlight w:val="none"/>
          <w:lang w:eastAsia="zh-CN"/>
        </w:rPr>
        <w:t>个项目开展绩效自评，绩效自评表详见第四部分附件。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snapToGrid w:val="0"/>
          <w:spacing w:val="0"/>
          <w:kern w:val="0"/>
          <w:lang w:eastAsia="zh-CN"/>
        </w:rPr>
      </w:pPr>
      <w:r>
        <w:rPr>
          <w:rFonts w:hint="eastAsia"/>
          <w:snapToGrid w:val="0"/>
          <w:spacing w:val="0"/>
          <w:kern w:val="0"/>
          <w:lang w:eastAsia="zh-CN"/>
        </w:rPr>
        <w:br w:type="page"/>
      </w: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rPr>
          <w:rFonts w:hint="eastAsia" w:ascii="黑体" w:hAnsi="黑体" w:eastAsia="黑体" w:cs="黑体"/>
          <w:snapToGrid w:val="0"/>
          <w:spacing w:val="0"/>
          <w:kern w:val="0"/>
          <w:lang w:eastAsia="zh-CN"/>
        </w:rPr>
      </w:pPr>
      <w:bookmarkStart w:id="36" w:name="_Toc2269"/>
      <w:r>
        <w:rPr>
          <w:rFonts w:hint="eastAsia" w:ascii="黑体" w:hAnsi="黑体" w:eastAsia="黑体" w:cs="黑体"/>
          <w:snapToGrid w:val="0"/>
          <w:spacing w:val="0"/>
          <w:kern w:val="0"/>
          <w:lang w:eastAsia="zh-CN"/>
        </w:rPr>
        <w:t>第三部分</w:t>
      </w:r>
      <w:r>
        <w:rPr>
          <w:rFonts w:hint="eastAsia" w:ascii="黑体" w:hAnsi="黑体" w:eastAsia="黑体" w:cs="黑体"/>
          <w:snapToGrid w:val="0"/>
          <w:spacing w:val="0"/>
          <w:kern w:val="0"/>
          <w:lang w:val="en-US" w:eastAsia="zh-CN"/>
        </w:rPr>
        <w:t xml:space="preserve"> </w:t>
      </w:r>
      <w:r>
        <w:rPr>
          <w:rFonts w:hint="eastAsia" w:ascii="黑体" w:hAnsi="黑体" w:eastAsia="黑体" w:cs="黑体"/>
          <w:snapToGrid w:val="0"/>
          <w:spacing w:val="0"/>
          <w:kern w:val="0"/>
          <w:lang w:eastAsia="zh-CN"/>
        </w:rPr>
        <w:t>名词解释</w:t>
      </w:r>
      <w:bookmarkEnd w:id="36"/>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snapToGrid w:val="0"/>
          <w:spacing w:val="0"/>
          <w:kern w:val="0"/>
          <w:lang w:eastAsia="zh-CN"/>
        </w:rPr>
      </w:pPr>
    </w:p>
    <w:p>
      <w:pPr>
        <w:bidi w:val="0"/>
        <w:rPr>
          <w:rFonts w:hint="eastAsia"/>
          <w:lang w:eastAsia="zh-CN"/>
        </w:rPr>
      </w:pPr>
      <w:r>
        <w:rPr>
          <w:rFonts w:hint="eastAsia"/>
          <w:snapToGrid w:val="0"/>
          <w:spacing w:val="0"/>
          <w:kern w:val="0"/>
          <w:lang w:eastAsia="zh-CN"/>
        </w:rPr>
        <w:t>1.</w:t>
      </w:r>
      <w:r>
        <w:rPr>
          <w:rFonts w:hint="eastAsia"/>
          <w:snapToGrid w:val="0"/>
          <w:spacing w:val="-11"/>
          <w:kern w:val="0"/>
          <w:lang w:eastAsia="zh-CN"/>
        </w:rPr>
        <w:t>财政拨款收入：指单位从同级财政部门</w:t>
      </w:r>
      <w:r>
        <w:rPr>
          <w:rFonts w:hint="eastAsia"/>
          <w:lang w:eastAsia="zh-CN"/>
        </w:rPr>
        <w:t>取得的财政预算资金。</w:t>
      </w:r>
    </w:p>
    <w:p>
      <w:pPr>
        <w:bidi w:val="0"/>
        <w:rPr>
          <w:rFonts w:hint="eastAsia"/>
          <w:lang w:eastAsia="zh-CN"/>
        </w:rPr>
      </w:pPr>
      <w:r>
        <w:rPr>
          <w:rFonts w:hint="eastAsia"/>
          <w:lang w:eastAsia="zh-CN"/>
        </w:rPr>
        <w:t>2.年初结转和结余：指以前年度尚未完成、结转到本年按有关规定继续使用的资金。</w:t>
      </w:r>
    </w:p>
    <w:p>
      <w:pPr>
        <w:bidi w:val="0"/>
        <w:rPr>
          <w:rFonts w:hint="eastAsia"/>
          <w:lang w:eastAsia="zh-CN"/>
        </w:rPr>
      </w:pPr>
      <w:r>
        <w:rPr>
          <w:rFonts w:hint="eastAsia"/>
          <w:lang w:val="en-US" w:eastAsia="zh-CN"/>
        </w:rPr>
        <w:t>3</w:t>
      </w:r>
      <w:r>
        <w:rPr>
          <w:rFonts w:hint="eastAsia"/>
          <w:lang w:eastAsia="zh-CN"/>
        </w:rPr>
        <w:t>.一般公共服务—市场监督管理事务—行政运行：指市场监督管理事务方面的（工商管理、质量技术监督、药品、医疗器械、化妆品，下同）基本支出。</w:t>
      </w:r>
    </w:p>
    <w:p>
      <w:pPr>
        <w:bidi w:val="0"/>
        <w:rPr>
          <w:rFonts w:hint="eastAsia"/>
          <w:lang w:eastAsia="zh-CN"/>
        </w:rPr>
      </w:pPr>
      <w:r>
        <w:rPr>
          <w:rFonts w:hint="eastAsia"/>
          <w:lang w:eastAsia="zh-CN"/>
        </w:rPr>
        <w:t>—一般行政管理事务：指未单独设置项级科目的如脱贫攻坚、党建工作经费等其他项目支出；</w:t>
      </w:r>
    </w:p>
    <w:p>
      <w:pPr>
        <w:bidi w:val="0"/>
        <w:rPr>
          <w:rFonts w:hint="eastAsia"/>
          <w:lang w:eastAsia="zh-CN"/>
        </w:rPr>
      </w:pPr>
      <w:r>
        <w:rPr>
          <w:rFonts w:hint="eastAsia"/>
          <w:lang w:eastAsia="zh-CN"/>
        </w:rPr>
        <w:t>—市场秩序执法：指反垄断、价格监督、反不正当竞争、规范直销与打击传销、网络交易监管、广告监管、消费者权益保护、综合执法等市场秩序执法专项工作支出；</w:t>
      </w:r>
    </w:p>
    <w:p>
      <w:pPr>
        <w:bidi w:val="0"/>
        <w:rPr>
          <w:rFonts w:hint="eastAsia"/>
          <w:lang w:eastAsia="zh-CN"/>
        </w:rPr>
      </w:pPr>
      <w:r>
        <w:rPr>
          <w:rFonts w:hint="eastAsia"/>
          <w:lang w:eastAsia="zh-CN"/>
        </w:rPr>
        <w:t>—药品事务：用于药品监督管理方面的支出；</w:t>
      </w:r>
    </w:p>
    <w:p>
      <w:pPr>
        <w:bidi w:val="0"/>
        <w:rPr>
          <w:rFonts w:hint="eastAsia"/>
          <w:lang w:eastAsia="zh-CN"/>
        </w:rPr>
      </w:pPr>
      <w:r>
        <w:rPr>
          <w:rFonts w:hint="eastAsia"/>
          <w:lang w:eastAsia="zh-CN"/>
        </w:rPr>
        <w:t>—</w:t>
      </w:r>
      <w:r>
        <w:rPr>
          <w:rFonts w:hint="eastAsia"/>
          <w:spacing w:val="-11"/>
          <w:sz w:val="32"/>
          <w:lang w:eastAsia="zh-CN"/>
        </w:rPr>
        <w:t>其他监督管理方面的事务：指市场维护与监管等方面的支出。</w:t>
      </w:r>
    </w:p>
    <w:p>
      <w:pPr>
        <w:bidi w:val="0"/>
        <w:rPr>
          <w:rFonts w:hint="eastAsia"/>
          <w:lang w:eastAsia="zh-CN"/>
        </w:rPr>
      </w:pPr>
      <w:r>
        <w:rPr>
          <w:rFonts w:hint="eastAsia"/>
          <w:lang w:val="en-US" w:eastAsia="zh-CN"/>
        </w:rPr>
        <w:t>4</w:t>
      </w:r>
      <w:r>
        <w:rPr>
          <w:rFonts w:hint="eastAsia"/>
          <w:lang w:eastAsia="zh-CN"/>
        </w:rPr>
        <w:t>.社会保障和就业支出—行政事业单位养老保险支出—行政单位离退休：指用于单位退休干部开支的退休经费；</w:t>
      </w:r>
    </w:p>
    <w:p>
      <w:pPr>
        <w:bidi w:val="0"/>
        <w:rPr>
          <w:rFonts w:hint="eastAsia"/>
          <w:lang w:eastAsia="zh-CN"/>
        </w:rPr>
      </w:pPr>
      <w:r>
        <w:rPr>
          <w:rFonts w:hint="eastAsia"/>
          <w:lang w:eastAsia="zh-CN"/>
        </w:rPr>
        <w:t>—机关事业单位基本养老保险缴费支出：单位实施养老保险制度单位缴纳的基本养老保险支出；</w:t>
      </w:r>
    </w:p>
    <w:p>
      <w:pPr>
        <w:bidi w:val="0"/>
        <w:rPr>
          <w:rFonts w:hint="eastAsia"/>
          <w:lang w:eastAsia="zh-CN"/>
        </w:rPr>
      </w:pPr>
      <w:r>
        <w:rPr>
          <w:rFonts w:hint="eastAsia"/>
          <w:lang w:eastAsia="zh-CN"/>
        </w:rPr>
        <w:t>—其他行政事业单位养老支出：用于退休干部的活动经费等其他养老方面支出。</w:t>
      </w:r>
    </w:p>
    <w:p>
      <w:pPr>
        <w:bidi w:val="0"/>
        <w:rPr>
          <w:rFonts w:hint="eastAsia"/>
          <w:lang w:eastAsia="zh-CN"/>
        </w:rPr>
      </w:pPr>
      <w:r>
        <w:rPr>
          <w:rFonts w:hint="eastAsia"/>
          <w:lang w:val="en-US" w:eastAsia="zh-CN"/>
        </w:rPr>
        <w:t>5</w:t>
      </w:r>
      <w:r>
        <w:rPr>
          <w:rFonts w:hint="eastAsia"/>
          <w:lang w:eastAsia="zh-CN"/>
        </w:rPr>
        <w:t>.卫生健康支出—行政事业单位医疗—行政单位医疗：指单位基本医疗保险缴费经费；</w:t>
      </w:r>
    </w:p>
    <w:p>
      <w:pPr>
        <w:bidi w:val="0"/>
        <w:rPr>
          <w:rFonts w:hint="eastAsia"/>
          <w:lang w:eastAsia="zh-CN"/>
        </w:rPr>
      </w:pPr>
      <w:r>
        <w:rPr>
          <w:rFonts w:hint="eastAsia"/>
          <w:lang w:eastAsia="zh-CN"/>
        </w:rPr>
        <w:t>—公务员医疗补助：指公务员医疗补助经费。</w:t>
      </w:r>
    </w:p>
    <w:p>
      <w:pPr>
        <w:bidi w:val="0"/>
        <w:rPr>
          <w:rFonts w:hint="eastAsia"/>
          <w:lang w:eastAsia="zh-CN"/>
        </w:rPr>
      </w:pPr>
      <w:r>
        <w:rPr>
          <w:rFonts w:hint="eastAsia"/>
          <w:lang w:val="en-US" w:eastAsia="zh-CN"/>
        </w:rPr>
        <w:t>6</w:t>
      </w:r>
      <w:r>
        <w:rPr>
          <w:rFonts w:hint="eastAsia"/>
          <w:lang w:eastAsia="zh-CN"/>
        </w:rPr>
        <w:t>.住房保障支出—住房改革支出—住房公积金：指单位近规定比例为职工缴纳的住房公积金。</w:t>
      </w:r>
    </w:p>
    <w:p>
      <w:pPr>
        <w:bidi w:val="0"/>
        <w:rPr>
          <w:rFonts w:hint="eastAsia"/>
          <w:lang w:eastAsia="zh-CN"/>
        </w:rPr>
      </w:pPr>
      <w:r>
        <w:rPr>
          <w:rFonts w:hint="eastAsia"/>
          <w:lang w:val="en-US" w:eastAsia="zh-CN"/>
        </w:rPr>
        <w:t>7</w:t>
      </w:r>
      <w:r>
        <w:rPr>
          <w:rFonts w:hint="eastAsia"/>
          <w:lang w:eastAsia="zh-CN"/>
        </w:rPr>
        <w:t>.基本支出：指为保障机构正常运转、完成日常工作任务而发生的人员支出和公用支出。</w:t>
      </w:r>
    </w:p>
    <w:p>
      <w:pPr>
        <w:bidi w:val="0"/>
        <w:rPr>
          <w:rFonts w:hint="eastAsia"/>
          <w:lang w:eastAsia="zh-CN"/>
        </w:rPr>
      </w:pPr>
      <w:r>
        <w:rPr>
          <w:rFonts w:hint="eastAsia"/>
          <w:lang w:val="en-US" w:eastAsia="zh-CN"/>
        </w:rPr>
        <w:t>8</w:t>
      </w:r>
      <w:r>
        <w:rPr>
          <w:rFonts w:hint="eastAsia"/>
          <w:lang w:eastAsia="zh-CN"/>
        </w:rPr>
        <w:t>.项目支出：指在基本支出之外为完成特定行政任务和事业发展目标所发生的支出。</w:t>
      </w:r>
    </w:p>
    <w:p>
      <w:pPr>
        <w:bidi w:val="0"/>
        <w:rPr>
          <w:rFonts w:hint="eastAsia"/>
          <w:lang w:eastAsia="zh-CN"/>
        </w:rPr>
      </w:pPr>
      <w:r>
        <w:rPr>
          <w:rFonts w:hint="eastAsia"/>
          <w:lang w:val="en-US" w:eastAsia="zh-CN"/>
        </w:rPr>
        <w:t>9</w:t>
      </w:r>
      <w:r>
        <w:rPr>
          <w:rFonts w:hint="eastAsia"/>
          <w:lang w:eastAsia="zh-CN"/>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rPr>
          <w:rFonts w:hint="eastAsia"/>
          <w:snapToGrid w:val="0"/>
          <w:spacing w:val="0"/>
          <w:kern w:val="0"/>
          <w:lang w:eastAsia="zh-CN"/>
        </w:rPr>
      </w:pPr>
      <w:r>
        <w:rPr>
          <w:rFonts w:hint="eastAsia"/>
          <w:lang w:eastAsia="zh-CN"/>
        </w:rPr>
        <w:t>1</w:t>
      </w:r>
      <w:r>
        <w:rPr>
          <w:rFonts w:hint="eastAsia"/>
          <w:lang w:val="en-US" w:eastAsia="zh-CN"/>
        </w:rPr>
        <w:t>0</w:t>
      </w:r>
      <w:r>
        <w:rPr>
          <w:rFonts w:hint="eastAsia"/>
          <w:lang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w:t>
      </w:r>
      <w:r>
        <w:rPr>
          <w:rFonts w:hint="eastAsia"/>
          <w:snapToGrid w:val="0"/>
          <w:spacing w:val="0"/>
          <w:kern w:val="0"/>
          <w:lang w:eastAsia="zh-CN"/>
        </w:rPr>
        <w:t>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snapToGrid w:val="0"/>
          <w:spacing w:val="0"/>
          <w:kern w:val="0"/>
          <w:lang w:eastAsia="zh-CN"/>
        </w:rPr>
      </w:pPr>
    </w:p>
    <w:p>
      <w:pPr>
        <w:pStyle w:val="2"/>
        <w:rPr>
          <w:rFonts w:hint="eastAsia"/>
          <w:lang w:eastAsia="zh-CN"/>
        </w:rPr>
        <w:sectPr>
          <w:footerReference r:id="rId5" w:type="default"/>
          <w:pgSz w:w="11906" w:h="16838"/>
          <w:pgMar w:top="2098" w:right="1474" w:bottom="1984" w:left="1587" w:header="850" w:footer="1474" w:gutter="0"/>
          <w:pgBorders>
            <w:top w:val="none" w:sz="0" w:space="0"/>
            <w:left w:val="none" w:sz="0" w:space="0"/>
            <w:bottom w:val="none" w:sz="0" w:space="0"/>
            <w:right w:val="none" w:sz="0" w:space="0"/>
          </w:pgBorders>
          <w:pgNumType w:start="1"/>
          <w:cols w:space="0" w:num="1"/>
          <w:docGrid w:linePitch="312" w:charSpace="0"/>
        </w:sect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rPr>
          <w:rFonts w:hint="eastAsia" w:ascii="黑体" w:hAnsi="黑体" w:eastAsia="黑体" w:cs="黑体"/>
          <w:snapToGrid w:val="0"/>
          <w:spacing w:val="0"/>
          <w:kern w:val="0"/>
          <w:lang w:eastAsia="zh-CN"/>
        </w:rPr>
      </w:pPr>
      <w:bookmarkStart w:id="37" w:name="_Toc24777"/>
      <w:r>
        <w:rPr>
          <w:rFonts w:hint="eastAsia" w:ascii="黑体" w:hAnsi="黑体" w:eastAsia="黑体" w:cs="黑体"/>
          <w:snapToGrid w:val="0"/>
          <w:spacing w:val="0"/>
          <w:kern w:val="0"/>
          <w:lang w:eastAsia="zh-CN"/>
        </w:rPr>
        <w:t>第四部分 附件</w:t>
      </w:r>
      <w:bookmarkEnd w:id="37"/>
    </w:p>
    <w:p>
      <w:pPr>
        <w:pStyle w:val="4"/>
        <w:bidi w:val="0"/>
        <w:ind w:left="0" w:leftChars="0" w:firstLine="0" w:firstLineChars="0"/>
        <w:jc w:val="center"/>
      </w:pPr>
      <w:r>
        <w:rPr>
          <w:rFonts w:hint="eastAsia"/>
          <w:lang w:val="en-US" w:eastAsia="zh-CN"/>
        </w:rPr>
        <w:t>部门预算项目支出绩效自评表（2022年度）</w:t>
      </w:r>
    </w:p>
    <w:tbl>
      <w:tblPr>
        <w:tblStyle w:val="11"/>
        <w:tblW w:w="49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1082"/>
        <w:gridCol w:w="1159"/>
        <w:gridCol w:w="1465"/>
        <w:gridCol w:w="1106"/>
        <w:gridCol w:w="943"/>
        <w:gridCol w:w="1083"/>
        <w:gridCol w:w="1192"/>
        <w:gridCol w:w="1213"/>
        <w:gridCol w:w="1078"/>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41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51190022R000004692548-工资性支出（行政）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2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巴中市市场监督管理局部门</w:t>
            </w:r>
          </w:p>
        </w:tc>
        <w:tc>
          <w:tcPr>
            <w:tcW w:w="467" w:type="pct"/>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实施单位（盖章）</w:t>
            </w:r>
          </w:p>
        </w:tc>
        <w:tc>
          <w:tcPr>
            <w:tcW w:w="14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巴中市市场监督管理稽查支队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2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项目年度目标</w:t>
            </w:r>
          </w:p>
        </w:tc>
        <w:tc>
          <w:tcPr>
            <w:tcW w:w="19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25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严格执行相关政策，保障工资及时发放、足额发放，预算编制科学合理，减少结余资金</w:t>
            </w:r>
          </w:p>
        </w:tc>
        <w:tc>
          <w:tcPr>
            <w:tcW w:w="19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工资及时发放、足额发放，预算编制科学合理，没有结余资金。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41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单位职工人数、工资级别等，测算本单位2022年应发放的工资总额，编制年初预算，实施过程中根据实际情况进行调整。2022年该项目按月足额发放，按时足额完成年度发放目标，项目资金严格按照《会计法》、《预算法》等财务管理法律法规和规章制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预算执行情况</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159.92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179.80</w:t>
            </w: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179.80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159.92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179.80</w:t>
            </w: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179.80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0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度量单位</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40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40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次</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0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40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56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45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年末完成全部工作目标，按照既定绩效目标较好执行，达到了绩效目标效果。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45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绩效目标指标的科学性有进一步提升空间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45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进一步提高指标设置科学性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22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w:t>
            </w:r>
          </w:p>
        </w:tc>
        <w:tc>
          <w:tcPr>
            <w:tcW w:w="270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w:t>
            </w:r>
          </w:p>
        </w:tc>
      </w:tr>
    </w:tbl>
    <w:p>
      <w:pPr>
        <w:rPr>
          <w:rFonts w:hint="eastAsia"/>
          <w:lang w:eastAsia="zh-CN"/>
        </w:rPr>
      </w:pPr>
      <w:r>
        <w:rPr>
          <w:rFonts w:hint="eastAsia"/>
          <w:lang w:eastAsia="zh-CN"/>
        </w:rPr>
        <w:br w:type="page"/>
      </w:r>
    </w:p>
    <w:p>
      <w:pPr>
        <w:pStyle w:val="4"/>
        <w:bidi w:val="0"/>
        <w:ind w:left="0" w:leftChars="0" w:firstLine="0" w:firstLineChars="0"/>
        <w:jc w:val="center"/>
        <w:rPr>
          <w:rFonts w:hint="eastAsia"/>
          <w:lang w:eastAsia="zh-CN"/>
        </w:rPr>
      </w:pPr>
      <w:r>
        <w:rPr>
          <w:rFonts w:hint="eastAsia"/>
          <w:lang w:val="en-US" w:eastAsia="zh-CN"/>
        </w:rPr>
        <w:t>部门预算项目支出绩效自评表（2022年度）</w:t>
      </w:r>
    </w:p>
    <w:tbl>
      <w:tblPr>
        <w:tblStyle w:val="11"/>
        <w:tblW w:w="49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140"/>
        <w:gridCol w:w="1500"/>
        <w:gridCol w:w="1560"/>
        <w:gridCol w:w="1110"/>
        <w:gridCol w:w="945"/>
        <w:gridCol w:w="1110"/>
        <w:gridCol w:w="1260"/>
        <w:gridCol w:w="720"/>
        <w:gridCol w:w="645"/>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10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51190022R000004693151-基本养老保险（行政）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6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巴中市市场监督管理局部门</w:t>
            </w:r>
          </w:p>
        </w:tc>
        <w:tc>
          <w:tcPr>
            <w:tcW w:w="1260"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 （盖章）</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巴中市市场监督管理稽查支队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6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宋体" w:eastAsia="黑体" w:cs="黑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4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c>
          <w:tcPr>
            <w:tcW w:w="6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严格执行相关政策，保障工资及时发放、足额发放，预算编制科学合理，减少结余资金</w:t>
            </w:r>
          </w:p>
        </w:tc>
        <w:tc>
          <w:tcPr>
            <w:tcW w:w="4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养老保险及时、足额缴纳，预算编制科学合理，没有结余资金。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10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根据上年情况进行预算，严格落实财务和会计制度，规范财务管理行为；严格票据管理；严格资金管理，专款专用；实现社银系统对接；推进财务业务一体化，实时对接机制，确保账证相符、账账相符、账实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25.59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26.74</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26.74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25.59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26.74</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26.74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度量单位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得分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0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0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0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6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116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年末完成全部工作目标，按照既定绩效目标较好执行，达到了绩效目标效果。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116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绩效目标指标的科学性有进一步提升空间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116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进一步提高指标设置科学性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w:t>
            </w:r>
          </w:p>
        </w:tc>
        <w:tc>
          <w:tcPr>
            <w:tcW w:w="6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w:t>
            </w:r>
          </w:p>
        </w:tc>
      </w:tr>
    </w:tbl>
    <w:p>
      <w:pPr>
        <w:rPr>
          <w:rFonts w:hint="eastAsia"/>
          <w:snapToGrid w:val="0"/>
          <w:spacing w:val="0"/>
          <w:kern w:val="0"/>
          <w:lang w:eastAsia="zh-CN"/>
        </w:rPr>
      </w:pPr>
      <w:r>
        <w:rPr>
          <w:rFonts w:hint="eastAsia"/>
          <w:snapToGrid w:val="0"/>
          <w:spacing w:val="0"/>
          <w:kern w:val="0"/>
          <w:lang w:eastAsia="zh-CN"/>
        </w:rPr>
        <w:br w:type="page"/>
      </w:r>
    </w:p>
    <w:p>
      <w:pPr>
        <w:pStyle w:val="4"/>
        <w:bidi w:val="0"/>
        <w:ind w:left="0" w:leftChars="0" w:firstLine="0" w:firstLineChars="0"/>
        <w:jc w:val="center"/>
        <w:rPr>
          <w:rFonts w:hint="eastAsia"/>
          <w:lang w:eastAsia="zh-CN"/>
        </w:rPr>
      </w:pPr>
      <w:r>
        <w:rPr>
          <w:rFonts w:hint="eastAsia"/>
          <w:lang w:val="en-US" w:eastAsia="zh-CN"/>
        </w:rPr>
        <w:t>部门预算项目支出绩效自评表（2022年度）</w:t>
      </w:r>
    </w:p>
    <w:tbl>
      <w:tblPr>
        <w:tblStyle w:val="11"/>
        <w:tblW w:w="49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1260"/>
        <w:gridCol w:w="1482"/>
        <w:gridCol w:w="1563"/>
        <w:gridCol w:w="1020"/>
        <w:gridCol w:w="870"/>
        <w:gridCol w:w="1020"/>
        <w:gridCol w:w="1305"/>
        <w:gridCol w:w="645"/>
        <w:gridCol w:w="64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103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51190022R000004695425-住房公积金（行政）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主管部门</w:t>
            </w: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巴中市市场监督管理局部门</w:t>
            </w:r>
          </w:p>
        </w:tc>
        <w:tc>
          <w:tcPr>
            <w:tcW w:w="130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实施单位（盖章）</w:t>
            </w:r>
          </w:p>
        </w:tc>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巴中市市场监督管理稽查支队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项目基本情况</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宋体" w:eastAsia="黑体" w:cs="黑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项目年度目标</w:t>
            </w:r>
          </w:p>
        </w:tc>
        <w:tc>
          <w:tcPr>
            <w:tcW w:w="4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仿宋_GB2312" w:hAnsi="宋体" w:eastAsia="仿宋_GB2312" w:cs="仿宋_GB2312"/>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严格执行相关政策，保障工资及时发放、足额发放，预算编制科学合理，减少结余资金</w:t>
            </w:r>
          </w:p>
        </w:tc>
        <w:tc>
          <w:tcPr>
            <w:tcW w:w="4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住房公积金及时、足额缴纳，预算编制科学合理，无结余资金。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103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单位职工人数、工资级别等，测算本单位2022年应缴纳的职工住房公积金，编制预算，实施过程中根据需要进行调整。2022年该项目按时足额完成年度发放目标，项目资金严格按照《会计法》、《预算法》等财务管理法律法规和规章制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预算执行情况（10分）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年度预算数（万元）</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年初预算</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调整后预算数</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得分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19.20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28.75</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28.75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10</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19.20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28.75</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28.75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财政专户管理资金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绩效指标（90分）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指标性质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度量单位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得分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产出指标</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科目调整次数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足额保障率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时效指标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按时发放率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0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效益指标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经济效益指标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结余率（计算方法为：结余数/预算数）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微软雅黑" w:hAnsi="微软雅黑" w:eastAsia="微软雅黑" w:cs="微软雅黑"/>
                <w:i/>
                <w:iCs/>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20"/>
                <w:szCs w:val="20"/>
              </w:rPr>
            </w:pPr>
            <w:r>
              <w:rPr>
                <w:rFonts w:ascii="宋体" w:hAnsi="宋体" w:eastAsia="宋体" w:cs="宋体"/>
                <w:i w:val="0"/>
                <w:iCs w:val="0"/>
                <w:color w:val="000000"/>
                <w:kern w:val="0"/>
                <w:sz w:val="20"/>
                <w:szCs w:val="20"/>
                <w:u w:val="none"/>
                <w:lang w:val="en-US" w:eastAsia="zh-CN" w:bidi="ar"/>
              </w:rPr>
              <w:t>22.5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6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right"/>
              <w:textAlignment w:val="center"/>
              <w:rPr>
                <w:sz w:val="20"/>
                <w:szCs w:val="20"/>
              </w:rPr>
            </w:pPr>
            <w:r>
              <w:rPr>
                <w:rFonts w:ascii="宋体" w:hAnsi="宋体" w:eastAsia="宋体" w:cs="宋体"/>
                <w:i w:val="0"/>
                <w:iCs w:val="0"/>
                <w:color w:val="000000"/>
                <w:kern w:val="0"/>
                <w:sz w:val="20"/>
                <w:szCs w:val="20"/>
                <w:u w:val="none"/>
                <w:lang w:val="en-US" w:eastAsia="zh-CN" w:bidi="ar"/>
              </w:rPr>
              <w:t>100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评价结论</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年末完成全部工作目标，按照既定绩效目标较好执行，达到了绩效目标效果。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存在问题</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绩效目标指标的科学性有进一步提升空间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改进措施</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0"/>
                <w:szCs w:val="20"/>
                <w:u w:val="none"/>
              </w:rPr>
            </w:pPr>
            <w:r>
              <w:rPr>
                <w:rFonts w:hint="eastAsia" w:ascii="微软雅黑" w:hAnsi="微软雅黑" w:eastAsia="微软雅黑" w:cs="微软雅黑"/>
                <w:i/>
                <w:iCs/>
                <w:color w:val="000000"/>
                <w:kern w:val="0"/>
                <w:sz w:val="20"/>
                <w:szCs w:val="20"/>
                <w:u w:val="none"/>
                <w:lang w:val="en-US" w:eastAsia="zh-CN" w:bidi="ar"/>
              </w:rPr>
              <w:t>进一步提高指标设置科学性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项目负责人：</w:t>
            </w:r>
          </w:p>
        </w:tc>
        <w:tc>
          <w:tcPr>
            <w:tcW w:w="6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财务负责人：</w:t>
            </w:r>
          </w:p>
        </w:tc>
      </w:tr>
    </w:tbl>
    <w:p>
      <w:pPr>
        <w:rPr>
          <w:rFonts w:hint="eastAsia"/>
          <w:lang w:eastAsia="zh-CN"/>
        </w:rPr>
      </w:pPr>
      <w:r>
        <w:rPr>
          <w:rFonts w:hint="eastAsia"/>
          <w:lang w:eastAsia="zh-CN"/>
        </w:rPr>
        <w:br w:type="page"/>
      </w:r>
    </w:p>
    <w:p>
      <w:pPr>
        <w:pStyle w:val="4"/>
        <w:bidi w:val="0"/>
        <w:ind w:left="0" w:leftChars="0" w:firstLine="0" w:firstLineChars="0"/>
        <w:jc w:val="center"/>
        <w:rPr>
          <w:rFonts w:hint="eastAsia"/>
          <w:lang w:eastAsia="zh-CN"/>
        </w:rPr>
      </w:pPr>
      <w:r>
        <w:rPr>
          <w:rFonts w:hint="eastAsia"/>
          <w:lang w:val="en-US" w:eastAsia="zh-CN"/>
        </w:rPr>
        <w:t>部门预算项目支出绩效自评表（2022年度）</w:t>
      </w:r>
    </w:p>
    <w:tbl>
      <w:tblPr>
        <w:tblStyle w:val="11"/>
        <w:tblW w:w="49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1260"/>
        <w:gridCol w:w="1482"/>
        <w:gridCol w:w="1563"/>
        <w:gridCol w:w="1020"/>
        <w:gridCol w:w="870"/>
        <w:gridCol w:w="1020"/>
        <w:gridCol w:w="1305"/>
        <w:gridCol w:w="645"/>
        <w:gridCol w:w="64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项目名称</w:t>
            </w:r>
          </w:p>
        </w:tc>
        <w:tc>
          <w:tcPr>
            <w:tcW w:w="103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51190022T000004986644-市场监管综合行政执法办案经费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主管部门</w:t>
            </w: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巴中市市场监督管理局部门</w:t>
            </w:r>
          </w:p>
        </w:tc>
        <w:tc>
          <w:tcPr>
            <w:tcW w:w="130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实施单位（盖章）</w:t>
            </w:r>
          </w:p>
        </w:tc>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巴中市市场监督管理稽查支队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项目基本情况</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宋体" w:eastAsia="黑体" w:cs="黑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项目年度目标</w:t>
            </w:r>
          </w:p>
        </w:tc>
        <w:tc>
          <w:tcPr>
            <w:tcW w:w="4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000000"/>
                <w:sz w:val="22"/>
                <w:szCs w:val="22"/>
                <w:u w:val="none"/>
              </w:rPr>
            </w:pP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0"/>
                <w:szCs w:val="20"/>
                <w:u w:val="none"/>
              </w:rPr>
              <w:t>根据《中共巴中市委机构编制委员会关于市场监管领域综合行政执法改革机构编制事项的通知》（巴编制发〔2020〕40号文件，负责市本级工商、质检、食品、药品、物价、商标、专利、盐业综合行政执法工作，依法查处跨区域和有影响的复杂案件、重大案件和省交办案件。在2022年度，将加大执法办案力度，全面履行市场监管执法职责，查办大要案件12件，切实保障人民群众权益，维护市场健康稳定发展。</w:t>
            </w:r>
          </w:p>
        </w:tc>
        <w:tc>
          <w:tcPr>
            <w:tcW w:w="4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强化日常监管和专项整治执法力度，加大对制售假冒伪劣食品药品违法犯罪活动的打击力度，规范食品药品经营使用秩序，加大用药食品安全知识普及力度，完善监管规范和监督机制，提升监管水平。加大用药安全知识普及力度，完成药品抽验、化妆品及医疗器械抽样，完善监管规范和监督机制，提升监管水平</w:t>
            </w:r>
            <w:r>
              <w:rPr>
                <w:rFonts w:hint="eastAsia" w:ascii="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103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严格加强专项经费和支付制度管理，实行专款专用。做好预算执行，加快预算支出进度，促进资金及时足额拨付。专项资金财政拨款到位后及时进行了项目开展和资金投入。同时注重提高资金项目的安全性，严格执行“收支两条线”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预算执行情况（10分）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年度预算数（万元）</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年初预算</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调整后预算数</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预算执行数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20"/>
                <w:szCs w:val="20"/>
                <w:u w:val="none"/>
                <w:lang w:val="en-US" w:eastAsia="zh-CN" w:bidi="ar"/>
              </w:rPr>
              <w:t>得分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总额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30.00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30.00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30.00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10</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其中：财政资金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30.00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30.00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30.00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财政专户管理资金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单位资金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其他资金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20"/>
                <w:szCs w:val="20"/>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绩效指标（90分）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一级指标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三级指标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指标性质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度量单位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40"/>
                <w:szCs w:val="40"/>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20"/>
                <w:szCs w:val="20"/>
                <w:u w:val="none"/>
                <w:lang w:val="en-US" w:eastAsia="zh-CN" w:bidi="ar"/>
              </w:rPr>
              <w:t>得分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产出指标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查办具有影响力一般程序案件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行政诉讼及复议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时效指标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完成时间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成本指标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每办结1件案件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kern w:val="0"/>
                <w:sz w:val="18"/>
                <w:szCs w:val="18"/>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效益指标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市场监管领域重特大安全事故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群众和监管服务对象满意度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kern w:val="0"/>
                <w:sz w:val="18"/>
                <w:szCs w:val="18"/>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6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right"/>
              <w:textAlignment w:val="center"/>
              <w:rPr>
                <w:sz w:val="36"/>
                <w:szCs w:val="36"/>
              </w:rPr>
            </w:pPr>
            <w:r>
              <w:rPr>
                <w:rFonts w:ascii="宋体" w:hAnsi="宋体" w:eastAsia="宋体" w:cs="宋体"/>
                <w:i w:val="0"/>
                <w:iCs w:val="0"/>
                <w:color w:val="000000"/>
                <w:kern w:val="0"/>
                <w:sz w:val="20"/>
                <w:szCs w:val="20"/>
                <w:u w:val="none"/>
                <w:lang w:val="en-US" w:eastAsia="zh-CN" w:bidi="ar"/>
              </w:rPr>
              <w:t>100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评价结论</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1"/>
                <w:szCs w:val="21"/>
                <w:u w:val="none"/>
              </w:rPr>
            </w:pPr>
            <w:r>
              <w:rPr>
                <w:rFonts w:hint="eastAsia" w:ascii="微软雅黑" w:hAnsi="微软雅黑" w:eastAsia="微软雅黑" w:cs="微软雅黑"/>
                <w:i/>
                <w:iCs/>
                <w:color w:val="000000"/>
                <w:kern w:val="0"/>
                <w:sz w:val="18"/>
                <w:szCs w:val="18"/>
                <w:u w:val="none"/>
                <w:lang w:val="en-US" w:eastAsia="zh-CN" w:bidi="ar"/>
              </w:rPr>
              <w:t>年末完成全部工作目标，按照既定绩效目标较好执行，达到了绩效目标效果。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存在问题</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1"/>
                <w:szCs w:val="21"/>
                <w:u w:val="none"/>
              </w:rPr>
            </w:pPr>
            <w:r>
              <w:rPr>
                <w:rFonts w:hint="eastAsia" w:ascii="微软雅黑" w:hAnsi="微软雅黑" w:eastAsia="微软雅黑" w:cs="微软雅黑"/>
                <w:i/>
                <w:iCs/>
                <w:color w:val="000000"/>
                <w:kern w:val="0"/>
                <w:sz w:val="20"/>
                <w:szCs w:val="20"/>
                <w:u w:val="none"/>
                <w:lang w:val="en-US" w:eastAsia="zh-CN" w:bidi="ar"/>
              </w:rPr>
              <w:t>绩效目标指标的科学性有进一步提升空间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改进措施</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1"/>
                <w:szCs w:val="21"/>
                <w:u w:val="none"/>
              </w:rPr>
            </w:pPr>
            <w:r>
              <w:rPr>
                <w:rFonts w:hint="eastAsia" w:ascii="微软雅黑" w:hAnsi="微软雅黑" w:eastAsia="微软雅黑" w:cs="微软雅黑"/>
                <w:i/>
                <w:iCs/>
                <w:color w:val="000000"/>
                <w:kern w:val="0"/>
                <w:sz w:val="20"/>
                <w:szCs w:val="20"/>
                <w:u w:val="none"/>
                <w:lang w:val="en-US" w:eastAsia="zh-CN" w:bidi="ar"/>
              </w:rPr>
              <w:t>进一步提高指标设置科学性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项目负责人：</w:t>
            </w:r>
          </w:p>
        </w:tc>
        <w:tc>
          <w:tcPr>
            <w:tcW w:w="6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财务负责人：</w:t>
            </w:r>
          </w:p>
        </w:tc>
      </w:tr>
    </w:tbl>
    <w:p>
      <w:pPr>
        <w:rPr>
          <w:rFonts w:hint="eastAsia"/>
          <w:lang w:eastAsia="zh-CN"/>
        </w:rPr>
      </w:pPr>
      <w:r>
        <w:rPr>
          <w:rFonts w:hint="eastAsia"/>
          <w:lang w:eastAsia="zh-CN"/>
        </w:rPr>
        <w:br w:type="page"/>
      </w:r>
    </w:p>
    <w:p>
      <w:pPr>
        <w:pStyle w:val="4"/>
        <w:bidi w:val="0"/>
        <w:ind w:left="0" w:leftChars="0" w:firstLine="0" w:firstLineChars="0"/>
        <w:jc w:val="center"/>
        <w:rPr>
          <w:rFonts w:hint="eastAsia"/>
          <w:lang w:eastAsia="zh-CN"/>
        </w:rPr>
      </w:pPr>
      <w:r>
        <w:rPr>
          <w:rFonts w:hint="eastAsia"/>
          <w:lang w:val="en-US" w:eastAsia="zh-CN"/>
        </w:rPr>
        <w:t>部门预算项目支出绩效自评表（2022年度）</w:t>
      </w:r>
    </w:p>
    <w:tbl>
      <w:tblPr>
        <w:tblStyle w:val="11"/>
        <w:tblW w:w="49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1260"/>
        <w:gridCol w:w="1482"/>
        <w:gridCol w:w="1563"/>
        <w:gridCol w:w="1020"/>
        <w:gridCol w:w="870"/>
        <w:gridCol w:w="1020"/>
        <w:gridCol w:w="1305"/>
        <w:gridCol w:w="645"/>
        <w:gridCol w:w="64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项目名称</w:t>
            </w:r>
          </w:p>
        </w:tc>
        <w:tc>
          <w:tcPr>
            <w:tcW w:w="103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51190022Y000004690162-离退休干部活动经费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主管部门</w:t>
            </w: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巴中市市场监督管理局部门</w:t>
            </w:r>
          </w:p>
        </w:tc>
        <w:tc>
          <w:tcPr>
            <w:tcW w:w="130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实施单位（盖章）</w:t>
            </w:r>
          </w:p>
        </w:tc>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巴中市市场监督管理稽查支队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项目基本情况</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1.项目年度目标完成情况</w:t>
            </w: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宋体" w:eastAsia="黑体" w:cs="黑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项目年度目标</w:t>
            </w:r>
          </w:p>
        </w:tc>
        <w:tc>
          <w:tcPr>
            <w:tcW w:w="4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0"/>
                <w:szCs w:val="20"/>
                <w:u w:val="none"/>
              </w:rPr>
              <w:t>积极关爱关心退休干部，组织集体活动，邀请2名退休干部参加，保持积极阳光健康心态，营造良好的关爱退休老人的氛围。</w:t>
            </w:r>
          </w:p>
        </w:tc>
        <w:tc>
          <w:tcPr>
            <w:tcW w:w="4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开展退休干部政治学习活动，2名退休干部积极参与，关爱退休老人氛围良好。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2.项目实施内容及过程概述</w:t>
            </w:r>
          </w:p>
        </w:tc>
        <w:tc>
          <w:tcPr>
            <w:tcW w:w="103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开展退休干部政治学习活动，确保离退休干部的政治生活丰富多彩，保持鲜明政治立场，始终学习先进思想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预算执行情况（10分）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年度预算数（万元）</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年初预算</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调整后预算数</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预算执行数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20"/>
                <w:szCs w:val="20"/>
                <w:u w:val="none"/>
                <w:lang w:val="en-US" w:eastAsia="zh-CN" w:bidi="ar"/>
              </w:rPr>
              <w:t>得分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总额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0.06</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10</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其中：财政资金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0.06</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财政专户管理资金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单位资金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val="0"/>
              <w:snapToGrid w:val="0"/>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其他资金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20"/>
                <w:szCs w:val="20"/>
                <w:u w:val="none"/>
                <w:lang w:val="en-US" w:eastAsia="zh-CN" w:bidi="ar"/>
              </w:rPr>
              <w:t>/</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黑体" w:hAnsi="黑体" w:eastAsia="黑体" w:cs="黑体"/>
                <w:i/>
                <w:iCs/>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绩效指标（90分）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一级指标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三级指标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指标性质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度量单位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40"/>
                <w:szCs w:val="40"/>
              </w:rPr>
            </w:pPr>
            <w:r>
              <w:rPr>
                <w:rFonts w:ascii="宋体" w:hAnsi="宋体" w:eastAsia="宋体" w:cs="宋体"/>
                <w:i w:val="0"/>
                <w:iCs w:val="0"/>
                <w:color w:val="000000"/>
                <w:kern w:val="0"/>
                <w:sz w:val="20"/>
                <w:szCs w:val="20"/>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sz w:val="36"/>
                <w:szCs w:val="36"/>
              </w:rPr>
            </w:pPr>
            <w:r>
              <w:rPr>
                <w:rFonts w:ascii="宋体" w:hAnsi="宋体" w:eastAsia="宋体" w:cs="宋体"/>
                <w:i w:val="0"/>
                <w:iCs w:val="0"/>
                <w:color w:val="000000"/>
                <w:kern w:val="0"/>
                <w:sz w:val="20"/>
                <w:szCs w:val="20"/>
                <w:u w:val="none"/>
                <w:lang w:val="en-US" w:eastAsia="zh-CN" w:bidi="ar"/>
              </w:rPr>
              <w:t>得分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产出指标</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参与活动退休人员数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val="0"/>
                <w:iCs w:val="0"/>
                <w:color w:val="000000"/>
                <w:sz w:val="22"/>
                <w:szCs w:val="22"/>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参与活动次数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退休人员活动参与率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sz w:val="21"/>
                <w:szCs w:val="21"/>
                <w:u w:val="none"/>
              </w:rPr>
            </w:pPr>
            <w:r>
              <w:rPr>
                <w:rFonts w:ascii="宋体" w:hAnsi="宋体" w:eastAsia="宋体" w:cs="宋体"/>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sz w:val="22"/>
                <w:szCs w:val="22"/>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40"/>
                <w:szCs w:val="40"/>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sz w:val="36"/>
                <w:szCs w:val="36"/>
              </w:rPr>
            </w:pPr>
            <w:r>
              <w:rPr>
                <w:rFonts w:ascii="宋体" w:hAnsi="宋体" w:eastAsia="宋体" w:cs="宋体"/>
                <w:i w:val="0"/>
                <w:iCs w:val="0"/>
                <w:color w:val="000000"/>
                <w:kern w:val="0"/>
                <w:sz w:val="18"/>
                <w:szCs w:val="18"/>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完成时间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kern w:val="0"/>
                <w:sz w:val="18"/>
                <w:szCs w:val="18"/>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退休人员满意度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iCs/>
                <w:color w:val="000000"/>
                <w:kern w:val="0"/>
                <w:sz w:val="18"/>
                <w:szCs w:val="18"/>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微软雅黑" w:hAnsi="微软雅黑" w:eastAsia="微软雅黑" w:cs="微软雅黑"/>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6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right"/>
              <w:textAlignment w:val="center"/>
              <w:rPr>
                <w:sz w:val="36"/>
                <w:szCs w:val="36"/>
              </w:rPr>
            </w:pPr>
            <w:r>
              <w:rPr>
                <w:rFonts w:ascii="宋体" w:hAnsi="宋体" w:eastAsia="宋体" w:cs="宋体"/>
                <w:i w:val="0"/>
                <w:iCs w:val="0"/>
                <w:color w:val="000000"/>
                <w:kern w:val="0"/>
                <w:sz w:val="20"/>
                <w:szCs w:val="20"/>
                <w:u w:val="none"/>
                <w:lang w:val="en-US" w:eastAsia="zh-CN" w:bidi="ar"/>
              </w:rPr>
              <w:t>100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评价结论</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1"/>
                <w:szCs w:val="21"/>
                <w:u w:val="none"/>
              </w:rPr>
            </w:pPr>
            <w:r>
              <w:rPr>
                <w:rFonts w:hint="eastAsia" w:ascii="微软雅黑" w:hAnsi="微软雅黑" w:eastAsia="微软雅黑" w:cs="微软雅黑"/>
                <w:i/>
                <w:iCs/>
                <w:color w:val="000000"/>
                <w:kern w:val="0"/>
                <w:sz w:val="18"/>
                <w:szCs w:val="18"/>
                <w:u w:val="none"/>
                <w:lang w:val="en-US" w:eastAsia="zh-CN" w:bidi="ar"/>
              </w:rPr>
              <w:t>年末完成全部工作目标，按照既定绩效目标较好执行，达到了绩效目标效果。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存在问题</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1"/>
                <w:szCs w:val="21"/>
                <w:u w:val="none"/>
              </w:rPr>
            </w:pPr>
            <w:r>
              <w:rPr>
                <w:rFonts w:hint="eastAsia" w:ascii="微软雅黑" w:hAnsi="微软雅黑" w:eastAsia="微软雅黑" w:cs="微软雅黑"/>
                <w:i/>
                <w:iCs/>
                <w:color w:val="000000"/>
                <w:kern w:val="0"/>
                <w:sz w:val="20"/>
                <w:szCs w:val="20"/>
                <w:u w:val="none"/>
                <w:lang w:val="en-US" w:eastAsia="zh-CN" w:bidi="ar"/>
              </w:rPr>
              <w:t>绩效目标指标的科学性有进一步提升空间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0"/>
                <w:szCs w:val="20"/>
                <w:u w:val="none"/>
                <w:lang w:val="en-US" w:eastAsia="zh-CN" w:bidi="ar"/>
              </w:rPr>
              <w:t>改进措施</w:t>
            </w:r>
          </w:p>
        </w:tc>
        <w:tc>
          <w:tcPr>
            <w:tcW w:w="116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微软雅黑" w:hAnsi="微软雅黑" w:eastAsia="微软雅黑" w:cs="微软雅黑"/>
                <w:i/>
                <w:iCs/>
                <w:color w:val="000000"/>
                <w:sz w:val="21"/>
                <w:szCs w:val="21"/>
                <w:u w:val="none"/>
              </w:rPr>
            </w:pPr>
            <w:r>
              <w:rPr>
                <w:rFonts w:hint="eastAsia" w:ascii="微软雅黑" w:hAnsi="微软雅黑" w:eastAsia="微软雅黑" w:cs="微软雅黑"/>
                <w:i/>
                <w:iCs/>
                <w:color w:val="000000"/>
                <w:kern w:val="0"/>
                <w:sz w:val="20"/>
                <w:szCs w:val="20"/>
                <w:u w:val="none"/>
                <w:lang w:val="en-US" w:eastAsia="zh-CN" w:bidi="ar"/>
              </w:rPr>
              <w:t>进一步提高指标设置科学性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项目负责人：</w:t>
            </w:r>
          </w:p>
        </w:tc>
        <w:tc>
          <w:tcPr>
            <w:tcW w:w="6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firstLine="0" w:firstLineChars="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0"/>
                <w:szCs w:val="20"/>
                <w:u w:val="none"/>
                <w:lang w:val="en-US" w:eastAsia="zh-CN" w:bidi="ar"/>
              </w:rPr>
              <w:t>财务负责人：</w:t>
            </w:r>
          </w:p>
        </w:tc>
      </w:tr>
    </w:tbl>
    <w:p>
      <w:pPr>
        <w:pStyle w:val="2"/>
        <w:rPr>
          <w:rFonts w:hint="eastAsia"/>
          <w:lang w:eastAsia="zh-CN"/>
        </w:rPr>
      </w:pPr>
    </w:p>
    <w:p>
      <w:pPr>
        <w:pStyle w:val="2"/>
        <w:rPr>
          <w:rFonts w:hint="eastAsia"/>
          <w:lang w:eastAsia="zh-CN"/>
        </w:rPr>
        <w:sectPr>
          <w:footerReference r:id="rId6" w:type="default"/>
          <w:pgSz w:w="16838" w:h="11906" w:orient="landscape"/>
          <w:pgMar w:top="1587" w:right="2098" w:bottom="1474" w:left="1984" w:header="850" w:footer="1020" w:gutter="0"/>
          <w:pgBorders>
            <w:top w:val="none" w:sz="0" w:space="0"/>
            <w:left w:val="none" w:sz="0" w:space="0"/>
            <w:bottom w:val="none" w:sz="0" w:space="0"/>
            <w:right w:val="none" w:sz="0" w:space="0"/>
          </w:pgBorders>
          <w:pgNumType w:fmt="decimal"/>
          <w:cols w:space="0" w:num="1"/>
          <w:docGrid w:linePitch="312" w:charSpace="0"/>
        </w:sect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firstLine="0" w:firstLineChars="0"/>
        <w:textAlignment w:val="auto"/>
        <w:rPr>
          <w:rFonts w:hint="eastAsia" w:ascii="黑体" w:hAnsi="黑体" w:eastAsia="黑体" w:cs="黑体"/>
          <w:snapToGrid w:val="0"/>
          <w:spacing w:val="0"/>
          <w:kern w:val="0"/>
          <w:lang w:eastAsia="zh-CN"/>
        </w:rPr>
      </w:pPr>
      <w:bookmarkStart w:id="38" w:name="_Toc11951"/>
      <w:r>
        <w:rPr>
          <w:rFonts w:hint="eastAsia" w:ascii="黑体" w:hAnsi="黑体" w:eastAsia="黑体" w:cs="黑体"/>
          <w:snapToGrid w:val="0"/>
          <w:spacing w:val="0"/>
          <w:kern w:val="0"/>
          <w:lang w:eastAsia="zh-CN"/>
        </w:rPr>
        <w:t>第五部分</w:t>
      </w:r>
      <w:r>
        <w:rPr>
          <w:rFonts w:hint="eastAsia" w:ascii="黑体" w:hAnsi="黑体" w:eastAsia="黑体" w:cs="黑体"/>
          <w:snapToGrid w:val="0"/>
          <w:spacing w:val="0"/>
          <w:kern w:val="0"/>
          <w:lang w:val="en-US" w:eastAsia="zh-CN"/>
        </w:rPr>
        <w:t xml:space="preserve"> </w:t>
      </w:r>
      <w:r>
        <w:rPr>
          <w:rFonts w:hint="eastAsia" w:ascii="黑体" w:hAnsi="黑体" w:eastAsia="黑体" w:cs="黑体"/>
          <w:snapToGrid w:val="0"/>
          <w:spacing w:val="0"/>
          <w:kern w:val="0"/>
          <w:lang w:eastAsia="zh-CN"/>
        </w:rPr>
        <w:t>附表</w:t>
      </w:r>
      <w:bookmarkEnd w:id="38"/>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rPr>
          <w:rFonts w:hint="eastAsia"/>
          <w:lang w:eastAsia="zh-CN"/>
        </w:rPr>
      </w:pPr>
    </w:p>
    <w:p>
      <w:pPr>
        <w:pStyle w:val="4"/>
        <w:bidi w:val="0"/>
        <w:rPr>
          <w:rFonts w:hint="eastAsia"/>
          <w:lang w:eastAsia="zh-CN"/>
        </w:rPr>
      </w:pPr>
      <w:bookmarkStart w:id="39" w:name="_Toc7597"/>
      <w:r>
        <w:rPr>
          <w:rFonts w:hint="eastAsia"/>
          <w:lang w:eastAsia="zh-CN"/>
        </w:rPr>
        <w:t>一、收入支出决算总表</w:t>
      </w:r>
      <w:bookmarkEnd w:id="39"/>
    </w:p>
    <w:p>
      <w:pPr>
        <w:pStyle w:val="4"/>
        <w:bidi w:val="0"/>
        <w:rPr>
          <w:rFonts w:hint="eastAsia"/>
          <w:lang w:eastAsia="zh-CN"/>
        </w:rPr>
      </w:pPr>
      <w:bookmarkStart w:id="40" w:name="_Toc31124"/>
      <w:r>
        <w:rPr>
          <w:rFonts w:hint="eastAsia"/>
          <w:lang w:eastAsia="zh-CN"/>
        </w:rPr>
        <w:t>二、收入决算表</w:t>
      </w:r>
      <w:bookmarkEnd w:id="40"/>
    </w:p>
    <w:p>
      <w:pPr>
        <w:pStyle w:val="4"/>
        <w:bidi w:val="0"/>
        <w:rPr>
          <w:rFonts w:hint="eastAsia"/>
          <w:lang w:eastAsia="zh-CN"/>
        </w:rPr>
      </w:pPr>
      <w:bookmarkStart w:id="41" w:name="_Toc4719"/>
      <w:r>
        <w:rPr>
          <w:rFonts w:hint="eastAsia"/>
          <w:lang w:eastAsia="zh-CN"/>
        </w:rPr>
        <w:t>三、支出决算表</w:t>
      </w:r>
      <w:bookmarkEnd w:id="41"/>
    </w:p>
    <w:p>
      <w:pPr>
        <w:pStyle w:val="4"/>
        <w:bidi w:val="0"/>
        <w:rPr>
          <w:rFonts w:hint="eastAsia"/>
          <w:lang w:eastAsia="zh-CN"/>
        </w:rPr>
      </w:pPr>
      <w:bookmarkStart w:id="42" w:name="_Toc3229"/>
      <w:r>
        <w:rPr>
          <w:rFonts w:hint="eastAsia"/>
          <w:lang w:eastAsia="zh-CN"/>
        </w:rPr>
        <w:t>四、财政拨款收入支出决算总表</w:t>
      </w:r>
      <w:bookmarkEnd w:id="42"/>
    </w:p>
    <w:p>
      <w:pPr>
        <w:pStyle w:val="4"/>
        <w:bidi w:val="0"/>
        <w:rPr>
          <w:rFonts w:hint="eastAsia"/>
          <w:lang w:eastAsia="zh-CN"/>
        </w:rPr>
      </w:pPr>
      <w:bookmarkStart w:id="43" w:name="_Toc12418"/>
      <w:r>
        <w:rPr>
          <w:rFonts w:hint="eastAsia"/>
          <w:lang w:eastAsia="zh-CN"/>
        </w:rPr>
        <w:t>五、财政拨款支出决算明细表</w:t>
      </w:r>
      <w:bookmarkEnd w:id="43"/>
    </w:p>
    <w:p>
      <w:pPr>
        <w:pStyle w:val="4"/>
        <w:bidi w:val="0"/>
        <w:rPr>
          <w:rFonts w:hint="eastAsia"/>
          <w:lang w:eastAsia="zh-CN"/>
        </w:rPr>
      </w:pPr>
      <w:bookmarkStart w:id="44" w:name="_Toc11127"/>
      <w:r>
        <w:rPr>
          <w:rFonts w:hint="eastAsia"/>
          <w:lang w:eastAsia="zh-CN"/>
        </w:rPr>
        <w:t>六、一般公共预算财政拨款支出决算表</w:t>
      </w:r>
      <w:bookmarkEnd w:id="44"/>
    </w:p>
    <w:p>
      <w:pPr>
        <w:pStyle w:val="4"/>
        <w:bidi w:val="0"/>
        <w:rPr>
          <w:rFonts w:hint="eastAsia"/>
          <w:lang w:eastAsia="zh-CN"/>
        </w:rPr>
      </w:pPr>
      <w:bookmarkStart w:id="45" w:name="_Toc27868"/>
      <w:r>
        <w:rPr>
          <w:rFonts w:hint="eastAsia"/>
          <w:lang w:eastAsia="zh-CN"/>
        </w:rPr>
        <w:t>七、一般公共预算财政拨款支出决算明细表</w:t>
      </w:r>
      <w:bookmarkEnd w:id="45"/>
    </w:p>
    <w:p>
      <w:pPr>
        <w:pStyle w:val="4"/>
        <w:bidi w:val="0"/>
        <w:rPr>
          <w:rFonts w:hint="eastAsia"/>
          <w:lang w:eastAsia="zh-CN"/>
        </w:rPr>
      </w:pPr>
      <w:bookmarkStart w:id="46" w:name="_Toc8015"/>
      <w:r>
        <w:rPr>
          <w:rFonts w:hint="eastAsia"/>
          <w:lang w:eastAsia="zh-CN"/>
        </w:rPr>
        <w:t>八、一般公共预算财政拨款基本支出决算表</w:t>
      </w:r>
      <w:bookmarkEnd w:id="46"/>
    </w:p>
    <w:p>
      <w:pPr>
        <w:pStyle w:val="4"/>
        <w:bidi w:val="0"/>
        <w:rPr>
          <w:rFonts w:hint="eastAsia"/>
          <w:lang w:eastAsia="zh-CN"/>
        </w:rPr>
      </w:pPr>
      <w:bookmarkStart w:id="47" w:name="_Toc15295"/>
      <w:r>
        <w:rPr>
          <w:rFonts w:hint="eastAsia"/>
          <w:lang w:eastAsia="zh-CN"/>
        </w:rPr>
        <w:t>九、一般公共预算财政拨款项目支出决算表</w:t>
      </w:r>
      <w:bookmarkEnd w:id="47"/>
    </w:p>
    <w:p>
      <w:pPr>
        <w:pStyle w:val="4"/>
        <w:bidi w:val="0"/>
        <w:rPr>
          <w:rFonts w:hint="eastAsia"/>
          <w:lang w:eastAsia="zh-CN"/>
        </w:rPr>
      </w:pPr>
      <w:bookmarkStart w:id="48" w:name="_Toc17410"/>
      <w:r>
        <w:rPr>
          <w:rFonts w:hint="eastAsia"/>
          <w:lang w:eastAsia="zh-CN"/>
        </w:rPr>
        <w:t>十、政府性基金预算财政拨款收入支出决算表</w:t>
      </w:r>
      <w:bookmarkEnd w:id="48"/>
    </w:p>
    <w:p>
      <w:pPr>
        <w:pStyle w:val="4"/>
        <w:bidi w:val="0"/>
        <w:rPr>
          <w:rFonts w:hint="eastAsia"/>
          <w:lang w:eastAsia="zh-CN"/>
        </w:rPr>
      </w:pPr>
      <w:bookmarkStart w:id="49" w:name="_Toc26544"/>
      <w:r>
        <w:rPr>
          <w:rFonts w:hint="eastAsia"/>
          <w:lang w:eastAsia="zh-CN"/>
        </w:rPr>
        <w:t>十一、国有资本经营预算财政拨款收入支出决算表</w:t>
      </w:r>
      <w:bookmarkEnd w:id="49"/>
    </w:p>
    <w:p>
      <w:pPr>
        <w:pStyle w:val="4"/>
        <w:bidi w:val="0"/>
        <w:rPr>
          <w:rFonts w:hint="eastAsia"/>
          <w:lang w:eastAsia="zh-CN"/>
        </w:rPr>
      </w:pPr>
      <w:bookmarkStart w:id="50" w:name="_Toc1974"/>
      <w:r>
        <w:rPr>
          <w:rFonts w:hint="eastAsia"/>
          <w:lang w:eastAsia="zh-CN"/>
        </w:rPr>
        <w:t>十二、国有资本经营预算财政拨款支出决算表</w:t>
      </w:r>
      <w:bookmarkEnd w:id="50"/>
    </w:p>
    <w:p>
      <w:pPr>
        <w:pStyle w:val="4"/>
        <w:bidi w:val="0"/>
        <w:rPr>
          <w:rFonts w:hint="eastAsia"/>
          <w:lang w:eastAsia="zh-CN"/>
        </w:rPr>
      </w:pPr>
      <w:bookmarkStart w:id="51" w:name="_Toc1315"/>
      <w:r>
        <w:rPr>
          <w:rFonts w:hint="eastAsia"/>
          <w:lang w:eastAsia="zh-CN"/>
        </w:rPr>
        <w:t>十三、财政拨款“三公”经费支出决算表</w:t>
      </w:r>
      <w:bookmarkEnd w:id="51"/>
    </w:p>
    <w:sectPr>
      <w:footerReference r:id="rId7" w:type="default"/>
      <w:pgSz w:w="11906" w:h="16838"/>
      <w:pgMar w:top="2098" w:right="1474" w:bottom="1984" w:left="1587" w:header="850" w:footer="1474" w:gutter="0"/>
      <w:pgBorders>
        <w:top w:val="none" w:sz="0" w:space="0"/>
        <w:left w:val="none" w:sz="0" w:space="0"/>
        <w:bottom w:val="none" w:sz="0" w:space="0"/>
        <w:right w:val="none" w:sz="0" w:space="0"/>
      </w:pgBorders>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mirrorMargin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TQ2NmY4Njg3YzI1MjQyODA1MmQ3OTQ1MjY2ZDIifQ=="/>
  </w:docVars>
  <w:rsids>
    <w:rsidRoot w:val="3EA939E9"/>
    <w:rsid w:val="00063208"/>
    <w:rsid w:val="01995B0E"/>
    <w:rsid w:val="02216BBA"/>
    <w:rsid w:val="039B58CA"/>
    <w:rsid w:val="040F54DC"/>
    <w:rsid w:val="04BD1B14"/>
    <w:rsid w:val="04C0642A"/>
    <w:rsid w:val="07204535"/>
    <w:rsid w:val="157947E9"/>
    <w:rsid w:val="17426B8D"/>
    <w:rsid w:val="1795639C"/>
    <w:rsid w:val="17D80701"/>
    <w:rsid w:val="187C345A"/>
    <w:rsid w:val="1BCC2F26"/>
    <w:rsid w:val="1F95570F"/>
    <w:rsid w:val="1FAA6E36"/>
    <w:rsid w:val="224B1156"/>
    <w:rsid w:val="232043B9"/>
    <w:rsid w:val="23DB56A9"/>
    <w:rsid w:val="26CD0B57"/>
    <w:rsid w:val="277E6B2B"/>
    <w:rsid w:val="285F2D5E"/>
    <w:rsid w:val="2DC84E0B"/>
    <w:rsid w:val="2E5D389C"/>
    <w:rsid w:val="2E9C43C4"/>
    <w:rsid w:val="31E80FFB"/>
    <w:rsid w:val="320A1DAD"/>
    <w:rsid w:val="3B394F91"/>
    <w:rsid w:val="3E991C6F"/>
    <w:rsid w:val="3EA939E9"/>
    <w:rsid w:val="3FC52AC1"/>
    <w:rsid w:val="41FC4C79"/>
    <w:rsid w:val="48DE2583"/>
    <w:rsid w:val="49E947EA"/>
    <w:rsid w:val="4F0F34F4"/>
    <w:rsid w:val="50485873"/>
    <w:rsid w:val="52475338"/>
    <w:rsid w:val="53133787"/>
    <w:rsid w:val="548D2498"/>
    <w:rsid w:val="568C1F5E"/>
    <w:rsid w:val="569322E4"/>
    <w:rsid w:val="5A9E0D59"/>
    <w:rsid w:val="5CAF7A38"/>
    <w:rsid w:val="65CF1A06"/>
    <w:rsid w:val="681A295E"/>
    <w:rsid w:val="6AFE79EB"/>
    <w:rsid w:val="6BDD1D86"/>
    <w:rsid w:val="6EED2F5A"/>
    <w:rsid w:val="71BA46B5"/>
    <w:rsid w:val="74BD01BD"/>
    <w:rsid w:val="7510653F"/>
    <w:rsid w:val="754E0E15"/>
    <w:rsid w:val="763B5B08"/>
    <w:rsid w:val="7B3311D9"/>
    <w:rsid w:val="7CFF52BB"/>
    <w:rsid w:val="7D715B76"/>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djustRightInd w:val="0"/>
      <w:snapToGrid w:val="0"/>
      <w:spacing w:line="579" w:lineRule="exact"/>
      <w:ind w:firstLine="420" w:firstLineChars="200"/>
      <w:jc w:val="both"/>
    </w:pPr>
    <w:rPr>
      <w:rFonts w:ascii="宋体" w:hAnsi="宋体" w:eastAsia="仿宋_GB2312" w:cs="宋体"/>
      <w:kern w:val="2"/>
      <w:sz w:val="32"/>
      <w:szCs w:val="32"/>
      <w:lang w:val="en-US" w:eastAsia="zh-CN" w:bidi="ar-SA"/>
    </w:rPr>
  </w:style>
  <w:style w:type="paragraph" w:styleId="3">
    <w:name w:val="heading 1"/>
    <w:basedOn w:val="1"/>
    <w:next w:val="1"/>
    <w:link w:val="14"/>
    <w:qFormat/>
    <w:uiPriority w:val="0"/>
    <w:pPr>
      <w:keepNext w:val="0"/>
      <w:keepLines w:val="0"/>
      <w:spacing w:beforeLines="0" w:beforeAutospacing="0" w:afterLines="0" w:afterAutospacing="0" w:line="579" w:lineRule="exact"/>
      <w:ind w:firstLine="1440" w:firstLineChars="200"/>
      <w:jc w:val="center"/>
      <w:outlineLvl w:val="0"/>
    </w:pPr>
    <w:rPr>
      <w:rFonts w:ascii="宋体" w:hAnsi="宋体" w:eastAsia="方正小标宋简体"/>
      <w:kern w:val="44"/>
      <w:sz w:val="44"/>
      <w:szCs w:val="44"/>
    </w:rPr>
  </w:style>
  <w:style w:type="paragraph" w:styleId="4">
    <w:name w:val="heading 2"/>
    <w:basedOn w:val="1"/>
    <w:next w:val="1"/>
    <w:unhideWhenUsed/>
    <w:qFormat/>
    <w:uiPriority w:val="0"/>
    <w:pPr>
      <w:keepNext w:val="0"/>
      <w:keepLines w:val="0"/>
      <w:spacing w:beforeLines="0" w:beforeAutospacing="0" w:afterLines="0" w:afterAutospacing="0" w:line="579" w:lineRule="exact"/>
      <w:outlineLvl w:val="1"/>
    </w:pPr>
    <w:rPr>
      <w:rFonts w:ascii="宋体" w:hAnsi="宋体" w:eastAsia="黑体"/>
    </w:rPr>
  </w:style>
  <w:style w:type="paragraph" w:styleId="5">
    <w:name w:val="heading 3"/>
    <w:basedOn w:val="1"/>
    <w:next w:val="1"/>
    <w:unhideWhenUsed/>
    <w:qFormat/>
    <w:uiPriority w:val="0"/>
    <w:pPr>
      <w:keepNext w:val="0"/>
      <w:keepLines w:val="0"/>
      <w:spacing w:beforeLines="0" w:beforeAutospacing="0" w:afterLines="0" w:afterAutospacing="0" w:line="579" w:lineRule="exact"/>
      <w:outlineLvl w:val="2"/>
    </w:pPr>
    <w:rPr>
      <w:rFonts w:eastAsia="楷体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6">
    <w:name w:val="Salutation"/>
    <w:basedOn w:val="1"/>
    <w:next w:val="1"/>
    <w:qFormat/>
    <w:uiPriority w:val="0"/>
    <w:pPr>
      <w:spacing w:line="540" w:lineRule="exact"/>
    </w:pPr>
    <w:rPr>
      <w:rFonts w:ascii="Times New Roman" w:hAnsi="Times New Roman" w:eastAsia="仿宋_GB2312" w:cs="Times New Roman"/>
      <w:spacing w:val="-2"/>
      <w:sz w:val="32"/>
      <w:szCs w:val="20"/>
    </w:rPr>
  </w:style>
  <w:style w:type="paragraph" w:styleId="7">
    <w:name w:val="footer"/>
    <w:basedOn w:val="1"/>
    <w:link w:val="15"/>
    <w:qFormat/>
    <w:uiPriority w:val="0"/>
    <w:pPr>
      <w:tabs>
        <w:tab w:val="center" w:pos="4153"/>
        <w:tab w:val="right" w:pos="8306"/>
      </w:tabs>
      <w:snapToGrid w:val="0"/>
      <w:spacing w:line="240" w:lineRule="auto"/>
      <w:ind w:left="320" w:leftChars="100" w:right="320" w:rightChars="100" w:firstLine="0" w:firstLineChars="0"/>
      <w:jc w:val="both"/>
    </w:pPr>
    <w:rPr>
      <w:rFonts w:ascii="宋体" w:hAnsi="宋体" w:eastAsia="宋体" w:cs="宋体"/>
      <w:snapToGrid w:val="0"/>
      <w:sz w:val="28"/>
      <w:szCs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Strong"/>
    <w:basedOn w:val="12"/>
    <w:qFormat/>
    <w:uiPriority w:val="99"/>
    <w:rPr>
      <w:b/>
    </w:rPr>
  </w:style>
  <w:style w:type="character" w:customStyle="1" w:styleId="14">
    <w:name w:val="标题 1 Char"/>
    <w:link w:val="3"/>
    <w:qFormat/>
    <w:uiPriority w:val="0"/>
    <w:rPr>
      <w:rFonts w:ascii="宋体" w:hAnsi="宋体" w:eastAsia="方正小标宋简体"/>
      <w:kern w:val="44"/>
      <w:sz w:val="44"/>
      <w:szCs w:val="44"/>
    </w:rPr>
  </w:style>
  <w:style w:type="character" w:customStyle="1" w:styleId="15">
    <w:name w:val="页脚 Char"/>
    <w:link w:val="7"/>
    <w:qFormat/>
    <w:uiPriority w:val="0"/>
    <w:rPr>
      <w:rFonts w:ascii="宋体" w:hAnsi="宋体" w:eastAsia="宋体" w:cs="宋体"/>
      <w:snapToGrid w:val="0"/>
      <w:sz w:val="28"/>
      <w:szCs w:val="28"/>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r>
              <a:rPr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图</a:t>
            </a:r>
            <a:r>
              <a:rPr lang="en-US" altLang="zh-CN"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1</a:t>
            </a:r>
            <a:r>
              <a:rPr altLang="en-US"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：收、支决算总计变动情况图</a:t>
            </a:r>
            <a:endParaRPr altLang="en-US"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endParaRP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收入总计</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488.92</c:v>
                </c:pt>
                <c:pt idx="1">
                  <c:v>535.93</c:v>
                </c:pt>
              </c:numCache>
            </c:numRef>
          </c:val>
        </c:ser>
        <c:ser>
          <c:idx val="1"/>
          <c:order val="1"/>
          <c:tx>
            <c:strRef>
              <c:f>Sheet1!$C$1</c:f>
              <c:strCache>
                <c:ptCount val="1"/>
                <c:pt idx="0">
                  <c:v>支出总计</c:v>
                </c:pt>
              </c:strCache>
            </c:strRef>
          </c:tx>
          <c:spPr>
            <a:solidFill>
              <a:schemeClr val="accent2"/>
            </a:solidFill>
            <a:ln>
              <a:noFill/>
            </a:ln>
            <a:effectLst/>
          </c:spPr>
          <c:invertIfNegative val="false"/>
          <c:dLbls>
            <c:delete val="true"/>
          </c:dLbls>
          <c:cat>
            <c:strRef>
              <c:f>Sheet1!$A$2:$A$3</c:f>
              <c:strCache>
                <c:ptCount val="2"/>
                <c:pt idx="0">
                  <c:v>2021年</c:v>
                </c:pt>
                <c:pt idx="1">
                  <c:v>2022年</c:v>
                </c:pt>
              </c:strCache>
            </c:strRef>
          </c:cat>
          <c:val>
            <c:numRef>
              <c:f>Sheet1!$C$2:$C$3</c:f>
              <c:numCache>
                <c:formatCode>General</c:formatCode>
                <c:ptCount val="2"/>
                <c:pt idx="0">
                  <c:v>488.92</c:v>
                </c:pt>
                <c:pt idx="1">
                  <c:v>535.93</c:v>
                </c:pt>
              </c:numCache>
            </c:numRef>
          </c:val>
        </c:ser>
        <c:dLbls>
          <c:showLegendKey val="false"/>
          <c:showVal val="false"/>
          <c:showCatName val="false"/>
          <c:showSerName val="false"/>
          <c:showPercent val="false"/>
          <c:showBubbleSize val="false"/>
        </c:dLbls>
        <c:gapWidth val="219"/>
        <c:overlap val="-27"/>
        <c:axId val="534231448"/>
        <c:axId val="189971046"/>
      </c:barChart>
      <c:catAx>
        <c:axId val="534231448"/>
        <c:scaling>
          <c:orientation val="minMax"/>
        </c:scaling>
        <c:delete val="false"/>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crossAx val="189971046"/>
        <c:crosses val="autoZero"/>
        <c:auto val="true"/>
        <c:lblAlgn val="ctr"/>
        <c:lblOffset val="100"/>
        <c:noMultiLvlLbl val="false"/>
      </c:catAx>
      <c:valAx>
        <c:axId val="189971046"/>
        <c:scaling>
          <c:orientation val="minMax"/>
          <c:max val="550"/>
          <c:min val="40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crossAx val="534231448"/>
        <c:crosses val="autoZero"/>
        <c:crossBetween val="between"/>
        <c:majorUnit val="10"/>
      </c:valAx>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ayout>
        <c:manualLayout>
          <c:xMode val="edge"/>
          <c:yMode val="edge"/>
          <c:x val="0.84646628757108"/>
          <c:y val="0.475573733242445"/>
          <c:w val="0.13931762794476"/>
          <c:h val="0.19404680754374"/>
        </c:manualLayout>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u="none" strike="noStrike" kern="1200" cap="none" spc="0"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r>
              <a:rPr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图</a:t>
            </a:r>
            <a:r>
              <a:rPr lang="en-US" altLang="zh-CN"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2</a:t>
            </a:r>
            <a:r>
              <a:rPr altLang="en-US"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：收入决算结构图</a:t>
            </a:r>
            <a:endParaRPr altLang="en-US"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endParaRPr>
          </a:p>
        </c:rich>
      </c:tx>
      <c:layout>
        <c:manualLayout>
          <c:xMode val="edge"/>
          <c:yMode val="edge"/>
          <c:x val="0.324578430183186"/>
          <c:y val="0.0555279960314285"/>
        </c:manualLayout>
      </c:layout>
      <c:overlay val="false"/>
      <c:spPr>
        <a:noFill/>
        <a:ln>
          <a:noFill/>
        </a:ln>
        <a:effectLst/>
      </c:spPr>
    </c:title>
    <c:autoTitleDeleted val="false"/>
    <c:plotArea>
      <c:layout>
        <c:manualLayout>
          <c:layoutTarget val="inner"/>
          <c:xMode val="edge"/>
          <c:yMode val="edge"/>
          <c:x val="0.331731594302385"/>
          <c:y val="0.325104912367317"/>
          <c:w val="0.401750471940964"/>
          <c:h val="0.577882004443347"/>
        </c:manualLayout>
      </c:layout>
      <c:pieChart>
        <c:varyColors val="true"/>
        <c:ser>
          <c:idx val="0"/>
          <c:order val="0"/>
          <c:tx>
            <c:strRef>
              <c:f>Sheet1!$B$1</c:f>
              <c:strCache>
                <c:ptCount val="1"/>
                <c:pt idx="0">
                  <c:v>本年收入</c:v>
                </c:pt>
              </c:strCache>
            </c:strRef>
          </c:tx>
          <c:spPr/>
          <c:explosion val="0"/>
          <c:dPt>
            <c:idx val="0"/>
            <c:bubble3D val="false"/>
            <c:spPr>
              <a:solidFill>
                <a:schemeClr val="accent1"/>
              </a:solidFill>
              <a:ln w="19050">
                <a:solidFill>
                  <a:sysClr val="window" lastClr="FFFFFF"/>
                </a:solidFill>
              </a:ln>
              <a:effectLst/>
            </c:spPr>
          </c:dPt>
          <c:dPt>
            <c:idx val="1"/>
            <c:bubble3D val="false"/>
            <c:spPr>
              <a:solidFill>
                <a:schemeClr val="accent2"/>
              </a:solidFill>
              <a:ln w="19050">
                <a:solidFill>
                  <a:sysClr val="window" lastClr="FFFFFF"/>
                </a:solidFill>
              </a:ln>
              <a:effectLst/>
            </c:spPr>
          </c:dPt>
          <c:dPt>
            <c:idx val="2"/>
            <c:bubble3D val="false"/>
            <c:spPr>
              <a:solidFill>
                <a:schemeClr val="accent3"/>
              </a:solidFill>
              <a:ln w="19050">
                <a:solidFill>
                  <a:sysClr val="window" lastClr="FFFFFF"/>
                </a:solidFill>
              </a:ln>
              <a:effectLst/>
            </c:spPr>
          </c:dPt>
          <c:dPt>
            <c:idx val="3"/>
            <c:bubble3D val="false"/>
            <c:spPr>
              <a:solidFill>
                <a:schemeClr val="accent4"/>
              </a:solidFill>
              <a:ln w="19050">
                <a:solidFill>
                  <a:sysClr val="window" lastClr="FFFFFF"/>
                </a:solidFill>
              </a:ln>
              <a:effectLst/>
            </c:spPr>
          </c:dPt>
          <c:dPt>
            <c:idx val="4"/>
            <c:bubble3D val="false"/>
            <c:spPr>
              <a:solidFill>
                <a:schemeClr val="accent5"/>
              </a:solidFill>
              <a:ln w="19050">
                <a:solidFill>
                  <a:sysClr val="window" lastClr="FFFFFF"/>
                </a:solidFill>
              </a:ln>
              <a:effectLst/>
            </c:spPr>
          </c:dPt>
          <c:dPt>
            <c:idx val="5"/>
            <c:bubble3D val="false"/>
            <c:spPr>
              <a:solidFill>
                <a:schemeClr val="accent6"/>
              </a:solidFill>
              <a:ln w="19050">
                <a:solidFill>
                  <a:sysClr val="window" lastClr="FFFFFF"/>
                </a:solidFill>
              </a:ln>
              <a:effectLst/>
            </c:spPr>
          </c:dPt>
          <c:dLbls>
            <c:delete val="true"/>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2"/>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3"/>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4"/>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5"/>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ayout>
        <c:manualLayout>
          <c:xMode val="edge"/>
          <c:yMode val="edge"/>
          <c:x val="0.707509401916777"/>
          <c:y val="0.215024048208704"/>
          <c:w val="0.288851146427272"/>
          <c:h val="0.725731895223421"/>
        </c:manualLayout>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noFill/>
    <a:ln w="9525" cap="flat" cmpd="sng" algn="ctr">
      <a:solidFill>
        <a:sysClr val="windowText" lastClr="000000">
          <a:lumMod val="15000"/>
          <a:lumOff val="85000"/>
        </a:sysClr>
      </a:solidFill>
      <a:round/>
    </a:ln>
    <a:effectLst/>
  </c:spPr>
  <c:txPr>
    <a:bodyPr/>
    <a:lstStyle/>
    <a:p>
      <a:pPr>
        <a:defRPr lang="zh-CN" u="none" strike="noStrike" kern="1200" cap="none" spc="0"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r>
              <a:rPr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图</a:t>
            </a:r>
            <a:r>
              <a:rPr lang="en-US" altLang="zh-CN"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3</a:t>
            </a:r>
            <a:r>
              <a:rPr altLang="en-US"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rPr>
              <a:t>：支出决算结构图</a:t>
            </a:r>
            <a:endParaRPr altLang="en-US" u="none" strike="noStrike" cap="none"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endParaRPr>
          </a:p>
        </c:rich>
      </c:tx>
      <c:layout/>
      <c:overlay val="false"/>
      <c:spPr>
        <a:noFill/>
        <a:ln>
          <a:noFill/>
        </a:ln>
        <a:effectLst/>
      </c:spPr>
    </c:title>
    <c:autoTitleDeleted val="false"/>
    <c:plotArea>
      <c:layout/>
      <c:pieChart>
        <c:varyColors val="true"/>
        <c:ser>
          <c:idx val="0"/>
          <c:order val="0"/>
          <c:tx>
            <c:strRef>
              <c:f>Sheet1!$B$1</c:f>
              <c:strCache>
                <c:ptCount val="1"/>
                <c:pt idx="0">
                  <c:v>本年支出决算分析</c:v>
                </c:pt>
              </c:strCache>
            </c:strRef>
          </c:tx>
          <c:spPr/>
          <c:explosion val="0"/>
          <c:dPt>
            <c:idx val="0"/>
            <c:bubble3D val="false"/>
            <c:spPr>
              <a:solidFill>
                <a:schemeClr val="accent1"/>
              </a:solidFill>
              <a:ln w="19050">
                <a:solidFill>
                  <a:sysClr val="window" lastClr="FFFFFF"/>
                </a:solidFill>
              </a:ln>
              <a:effectLst/>
            </c:spPr>
          </c:dPt>
          <c:dPt>
            <c:idx val="1"/>
            <c:bubble3D val="false"/>
            <c:spPr>
              <a:solidFill>
                <a:schemeClr val="accent2"/>
              </a:solidFill>
              <a:ln w="19050">
                <a:solidFill>
                  <a:sysClr val="window" lastClr="FFFFFF"/>
                </a:solidFill>
              </a:ln>
              <a:effectLst/>
            </c:spPr>
          </c:dPt>
          <c:dLbls>
            <c:delete val="true"/>
          </c:dLbls>
          <c:cat>
            <c:strRef>
              <c:f>Sheet1!$A$2:$A$3</c:f>
              <c:strCache>
                <c:ptCount val="2"/>
                <c:pt idx="0">
                  <c:v>基本支出</c:v>
                </c:pt>
                <c:pt idx="1">
                  <c:v>项目支出</c:v>
                </c:pt>
              </c:strCache>
            </c:strRef>
          </c:cat>
          <c:val>
            <c:numRef>
              <c:f>Sheet1!$B$2:$B$3</c:f>
              <c:numCache>
                <c:formatCode>0.00%</c:formatCode>
                <c:ptCount val="2"/>
                <c:pt idx="0">
                  <c:v>0.8431</c:v>
                </c:pt>
                <c:pt idx="1">
                  <c:v>0.1569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Entry>
      <c:layout>
        <c:manualLayout>
          <c:xMode val="edge"/>
          <c:yMode val="edge"/>
          <c:x val="0.777944862155388"/>
          <c:y val="0.449465500485909"/>
          <c:w val="0.168295739348371"/>
          <c:h val="0.272351797862002"/>
        </c:manualLayout>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ysClr val="windowText" lastClr="000000"/>
              </a:solidFill>
              <a:uFill>
                <a:solidFill>
                  <a:sysClr val="windowText" lastClr="000000"/>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noFill/>
    <a:ln w="9525" cap="flat" cmpd="sng" algn="ctr">
      <a:solidFill>
        <a:sysClr val="windowText" lastClr="000000">
          <a:lumMod val="15000"/>
          <a:lumOff val="85000"/>
        </a:sysClr>
      </a:solidFill>
      <a:round/>
    </a:ln>
    <a:effectLst/>
  </c:spPr>
  <c:txPr>
    <a:bodyPr/>
    <a:lstStyle/>
    <a:p>
      <a:pPr>
        <a:defRPr lang="zh-CN" u="none" strike="noStrike" kern="1200" cap="none" spc="0" normalizeH="0">
          <a:solidFill>
            <a:sysClr val="windowText" lastClr="000000"/>
          </a:solidFill>
          <a:uFill>
            <a:solidFill>
              <a:sysClr val="windowText" lastClr="000000"/>
            </a:solidFill>
          </a:uFill>
          <a:latin typeface="宋体" panose="02010600030101010101" charset="-122"/>
          <a:ea typeface="仿宋_GB2312" panose="02010609030101010101" pitchFamily="3"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chemeClr val="tx1"/>
                </a:solidFill>
                <a:uFill>
                  <a:solidFill>
                    <a:schemeClr val="tx1"/>
                  </a:solidFill>
                </a:uFill>
                <a:latin typeface="宋体" panose="02010600030101010101" charset="-122"/>
                <a:ea typeface="仿宋_GB2312" panose="02010609030101010101" pitchFamily="3" charset="-122"/>
                <a:cs typeface="+mn-cs"/>
              </a:defRPr>
            </a:pPr>
            <a:r>
              <a:rPr u="none" strike="noStrike" cap="none" normalizeH="0">
                <a:solidFill>
                  <a:schemeClr val="tx1"/>
                </a:solidFill>
                <a:uFill>
                  <a:solidFill>
                    <a:schemeClr val="tx1"/>
                  </a:solidFill>
                </a:uFill>
                <a:latin typeface="宋体" panose="02010600030101010101" charset="-122"/>
                <a:ea typeface="仿宋_GB2312" panose="02010609030101010101" pitchFamily="3" charset="-122"/>
              </a:rPr>
              <a:t>图</a:t>
            </a:r>
            <a:r>
              <a:rPr lang="en-US" altLang="zh-CN" u="none" strike="noStrike" cap="none" normalizeH="0">
                <a:solidFill>
                  <a:schemeClr val="tx1"/>
                </a:solidFill>
                <a:uFill>
                  <a:solidFill>
                    <a:schemeClr val="tx1"/>
                  </a:solidFill>
                </a:uFill>
                <a:latin typeface="宋体" panose="02010600030101010101" charset="-122"/>
                <a:ea typeface="仿宋_GB2312" panose="02010609030101010101" pitchFamily="3" charset="-122"/>
              </a:rPr>
              <a:t>4</a:t>
            </a:r>
            <a:r>
              <a:rPr altLang="en-US" u="none" strike="noStrike" cap="none" normalizeH="0">
                <a:solidFill>
                  <a:schemeClr val="tx1"/>
                </a:solidFill>
                <a:uFill>
                  <a:solidFill>
                    <a:schemeClr val="tx1"/>
                  </a:solidFill>
                </a:uFill>
                <a:latin typeface="宋体" panose="02010600030101010101" charset="-122"/>
                <a:ea typeface="仿宋_GB2312" panose="02010609030101010101" pitchFamily="3" charset="-122"/>
              </a:rPr>
              <a:t>：财政拨款收、支决算总计变动情况</a:t>
            </a:r>
            <a:endParaRPr altLang="en-US" u="none" strike="noStrike" cap="none" normalizeH="0">
              <a:solidFill>
                <a:schemeClr val="tx1"/>
              </a:solidFill>
              <a:uFill>
                <a:solidFill>
                  <a:schemeClr val="tx1"/>
                </a:solidFill>
              </a:uFill>
              <a:latin typeface="宋体" panose="02010600030101010101" charset="-122"/>
              <a:ea typeface="仿宋_GB2312" panose="02010609030101010101" pitchFamily="3" charset="-122"/>
            </a:endParaRPr>
          </a:p>
        </c:rich>
      </c:tx>
      <c:layout>
        <c:manualLayout>
          <c:xMode val="edge"/>
          <c:yMode val="edge"/>
          <c:x val="0.1962482814377"/>
          <c:y val="0.0393855961100338"/>
        </c:manualLayout>
      </c:layout>
      <c:overlay val="false"/>
      <c:spPr>
        <a:noFill/>
        <a:ln>
          <a:noFill/>
        </a:ln>
        <a:effectLst/>
      </c:spPr>
    </c:title>
    <c:autoTitleDeleted val="false"/>
    <c:plotArea>
      <c:layout>
        <c:manualLayout>
          <c:layoutTarget val="inner"/>
          <c:xMode val="edge"/>
          <c:yMode val="edge"/>
          <c:x val="0.0673546701502286"/>
          <c:y val="0.204377825362836"/>
          <c:w val="0.67046374918354"/>
          <c:h val="0.667951463240542"/>
        </c:manualLayout>
      </c:layout>
      <c:barChart>
        <c:barDir val="col"/>
        <c:grouping val="clustered"/>
        <c:varyColors val="false"/>
        <c:ser>
          <c:idx val="0"/>
          <c:order val="0"/>
          <c:tx>
            <c:strRef>
              <c:f>Sheet1!$B$1</c:f>
              <c:strCache>
                <c:ptCount val="1"/>
                <c:pt idx="0">
                  <c:v>财政拨款收入总计</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488.92</c:v>
                </c:pt>
                <c:pt idx="1">
                  <c:v>535.93</c:v>
                </c:pt>
              </c:numCache>
            </c:numRef>
          </c:val>
        </c:ser>
        <c:ser>
          <c:idx val="1"/>
          <c:order val="1"/>
          <c:tx>
            <c:strRef>
              <c:f>Sheet1!$C$1</c:f>
              <c:strCache>
                <c:ptCount val="1"/>
                <c:pt idx="0">
                  <c:v>财政拨款支出总计</c:v>
                </c:pt>
              </c:strCache>
            </c:strRef>
          </c:tx>
          <c:spPr>
            <a:solidFill>
              <a:schemeClr val="accent2"/>
            </a:solidFill>
            <a:ln>
              <a:noFill/>
            </a:ln>
            <a:effectLst/>
          </c:spPr>
          <c:invertIfNegative val="false"/>
          <c:dLbls>
            <c:delete val="true"/>
          </c:dLbls>
          <c:cat>
            <c:strRef>
              <c:f>Sheet1!$A$2:$A$3</c:f>
              <c:strCache>
                <c:ptCount val="2"/>
                <c:pt idx="0">
                  <c:v>2021年</c:v>
                </c:pt>
                <c:pt idx="1">
                  <c:v>2022年</c:v>
                </c:pt>
              </c:strCache>
            </c:strRef>
          </c:cat>
          <c:val>
            <c:numRef>
              <c:f>Sheet1!$C$2:$C$3</c:f>
              <c:numCache>
                <c:formatCode>General</c:formatCode>
                <c:ptCount val="2"/>
                <c:pt idx="0">
                  <c:v>488.92</c:v>
                </c:pt>
                <c:pt idx="1">
                  <c:v>535.93</c:v>
                </c:pt>
              </c:numCache>
            </c:numRef>
          </c:val>
        </c:ser>
        <c:dLbls>
          <c:showLegendKey val="false"/>
          <c:showVal val="false"/>
          <c:showCatName val="false"/>
          <c:showSerName val="false"/>
          <c:showPercent val="false"/>
          <c:showBubbleSize val="false"/>
        </c:dLbls>
        <c:gapWidth val="219"/>
        <c:overlap val="-27"/>
        <c:axId val="490254376"/>
        <c:axId val="862779537"/>
      </c:barChart>
      <c:catAx>
        <c:axId val="490254376"/>
        <c:scaling>
          <c:orientation val="minMax"/>
        </c:scaling>
        <c:delete val="false"/>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宋体" panose="02010600030101010101" charset="-122"/>
                <a:ea typeface="仿宋_GB2312" panose="02010609030101010101" pitchFamily="3" charset="-122"/>
                <a:cs typeface="+mn-cs"/>
              </a:defRPr>
            </a:pPr>
          </a:p>
        </c:txPr>
        <c:crossAx val="862779537"/>
        <c:crosses val="autoZero"/>
        <c:auto val="true"/>
        <c:lblAlgn val="ctr"/>
        <c:lblOffset val="100"/>
        <c:noMultiLvlLbl val="false"/>
      </c:catAx>
      <c:valAx>
        <c:axId val="862779537"/>
        <c:scaling>
          <c:orientation val="minMax"/>
          <c:max val="550"/>
          <c:min val="40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宋体" panose="02010600030101010101" charset="-122"/>
                <a:ea typeface="仿宋_GB2312" panose="02010609030101010101" pitchFamily="3" charset="-122"/>
                <a:cs typeface="+mn-cs"/>
              </a:defRPr>
            </a:pPr>
          </a:p>
        </c:txPr>
        <c:crossAx val="490254376"/>
        <c:crosses val="autoZero"/>
        <c:crossBetween val="between"/>
      </c:valAx>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宋体" panose="02010600030101010101"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宋体" panose="02010600030101010101" charset="-122"/>
                <a:ea typeface="仿宋_GB2312" panose="02010609030101010101" pitchFamily="3" charset="-122"/>
                <a:cs typeface="+mn-cs"/>
              </a:defRPr>
            </a:pPr>
          </a:p>
        </c:txPr>
      </c:legendEntry>
      <c:layout>
        <c:manualLayout>
          <c:xMode val="edge"/>
          <c:yMode val="edge"/>
          <c:x val="0.757805355976486"/>
          <c:y val="0.474423031168213"/>
          <c:w val="0.226518615284128"/>
          <c:h val="0.226742802759933"/>
        </c:manualLayout>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u="none" strike="noStrike" kern="1200" cap="none" spc="0" normalizeH="0">
          <a:solidFill>
            <a:schemeClr val="tx1"/>
          </a:solidFill>
          <a:uFill>
            <a:solidFill>
              <a:schemeClr val="tx1"/>
            </a:solidFill>
          </a:uFill>
          <a:latin typeface="宋体" panose="02010600030101010101" charset="-122"/>
          <a:ea typeface="仿宋_GB2312" panose="02010609030101010101" pitchFamily="3"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r>
              <a:rPr altLang="en-US"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图</a:t>
            </a:r>
            <a:r>
              <a:rPr lang="en-US" altLang="zh-CN"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5</a:t>
            </a:r>
            <a:r>
              <a:rPr altLang="en-US"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a:t>
            </a:r>
            <a:r>
              <a:rPr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一般公共预算财政拨款支出变动情况</a:t>
            </a:r>
            <a:endParaRPr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endParaRPr>
          </a:p>
        </c:rich>
      </c:tx>
      <c:layout/>
      <c:overlay val="false"/>
      <c:spPr>
        <a:noFill/>
        <a:ln>
          <a:noFill/>
        </a:ln>
        <a:effectLst/>
      </c:spPr>
    </c:title>
    <c:autoTitleDeleted val="false"/>
    <c:plotArea>
      <c:layout>
        <c:manualLayout>
          <c:layoutTarget val="inner"/>
          <c:xMode val="edge"/>
          <c:yMode val="edge"/>
          <c:x val="0.0702022471910112"/>
          <c:y val="0.182798774188628"/>
          <c:w val="0.767381473377097"/>
          <c:h val="0.686285195277021"/>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478.57</c:v>
                </c:pt>
              </c:numCache>
            </c:numRef>
          </c:val>
        </c:ser>
        <c:ser>
          <c:idx val="1"/>
          <c:order val="1"/>
          <c:tx>
            <c:strRef>
              <c:f>Sheet1!$C$1</c:f>
              <c:strCache>
                <c:ptCount val="1"/>
                <c:pt idx="0">
                  <c:v>2022年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535.93</c:v>
                </c:pt>
              </c:numCache>
            </c:numRef>
          </c:val>
        </c:ser>
        <c:dLbls>
          <c:showLegendKey val="false"/>
          <c:showVal val="false"/>
          <c:showCatName val="false"/>
          <c:showSerName val="false"/>
          <c:showPercent val="false"/>
          <c:showBubbleSize val="false"/>
        </c:dLbls>
        <c:gapWidth val="219"/>
        <c:overlap val="-27"/>
        <c:axId val="14445562"/>
        <c:axId val="285227786"/>
      </c:barChart>
      <c:catAx>
        <c:axId val="14445562"/>
        <c:scaling>
          <c:orientation val="minMax"/>
        </c:scaling>
        <c:delete val="false"/>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true"/>
          <a:lstStyle/>
          <a:p>
            <a:pPr>
              <a:defRPr lang="zh-CN" sz="9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crossAx val="285227786"/>
        <c:crosses val="autoZero"/>
        <c:auto val="true"/>
        <c:lblAlgn val="ctr"/>
        <c:lblOffset val="100"/>
        <c:noMultiLvlLbl val="false"/>
      </c:catAx>
      <c:valAx>
        <c:axId val="285227786"/>
        <c:scaling>
          <c:orientation val="minMax"/>
          <c:max val="550"/>
          <c:min val="40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crossAx val="14445562"/>
        <c:crosses val="autoZero"/>
        <c:crossBetween val="between"/>
        <c:majorUnit val="20"/>
      </c:valAx>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9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Entry>
      <c:layout>
        <c:manualLayout>
          <c:xMode val="edge"/>
          <c:yMode val="edge"/>
          <c:x val="0.857078651685393"/>
          <c:y val="0.384541984732824"/>
          <c:w val="0.124943820224719"/>
          <c:h val="0.274491094147583"/>
        </c:manualLayout>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u="none" strike="noStrike" kern="1200" cap="none" spc="0" normalizeH="0">
          <a:solidFill>
            <a:schemeClr val="tx1"/>
          </a:solidFill>
          <a:uFill>
            <a:solidFill>
              <a:sysClr val="windowText" lastClr="000000"/>
            </a:solidFill>
          </a:uFill>
          <a:latin typeface="宋体" panose="02010600030101010101" charset="-122"/>
          <a:ea typeface="仿宋_GB2312" panose="02010609030101010101" pitchFamily="3"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r>
              <a:rPr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图</a:t>
            </a:r>
            <a:r>
              <a:rPr lang="en-US" altLang="zh-CN"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6</a:t>
            </a:r>
            <a:r>
              <a:rPr altLang="en-US"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a:t>
            </a:r>
            <a:r>
              <a:rPr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一般公共预算财政拨款支出决算结构</a:t>
            </a:r>
            <a:endParaRPr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endParaRPr>
          </a:p>
        </c:rich>
      </c:tx>
      <c:layout>
        <c:manualLayout>
          <c:xMode val="edge"/>
          <c:yMode val="edge"/>
          <c:x val="0.165460782421794"/>
          <c:y val="0.044042572516738"/>
        </c:manualLayout>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ysClr val="window" lastClr="FFFFFF"/>
                </a:solidFill>
              </a:ln>
              <a:effectLst/>
            </c:spPr>
          </c:dPt>
          <c:dPt>
            <c:idx val="1"/>
            <c:bubble3D val="false"/>
            <c:spPr>
              <a:solidFill>
                <a:schemeClr val="accent2"/>
              </a:solidFill>
              <a:ln w="19050">
                <a:solidFill>
                  <a:sysClr val="window" lastClr="FFFFFF"/>
                </a:solidFill>
              </a:ln>
              <a:effectLst/>
            </c:spPr>
          </c:dPt>
          <c:dPt>
            <c:idx val="2"/>
            <c:bubble3D val="false"/>
            <c:spPr>
              <a:solidFill>
                <a:schemeClr val="accent3"/>
              </a:solidFill>
              <a:ln w="19050">
                <a:solidFill>
                  <a:sysClr val="window" lastClr="FFFFFF"/>
                </a:solidFill>
              </a:ln>
              <a:effectLst/>
            </c:spPr>
          </c:dPt>
          <c:dPt>
            <c:idx val="3"/>
            <c:bubble3D val="false"/>
            <c:spPr>
              <a:solidFill>
                <a:schemeClr val="accent4"/>
              </a:solidFill>
              <a:ln w="19050">
                <a:solidFill>
                  <a:sysClr val="window" lastClr="FFFFFF"/>
                </a:solidFill>
              </a:ln>
              <a:effectLst/>
            </c:spPr>
          </c:dPt>
          <c:dPt>
            <c:idx val="4"/>
            <c:bubble3D val="false"/>
            <c:spPr>
              <a:solidFill>
                <a:schemeClr val="accent5"/>
              </a:solidFill>
              <a:ln w="19050">
                <a:solidFill>
                  <a:sysClr val="window" lastClr="FFFFFF"/>
                </a:solidFill>
              </a:ln>
              <a:effectLst/>
            </c:spPr>
          </c:dPt>
          <c:dPt>
            <c:idx val="5"/>
            <c:bubble3D val="false"/>
            <c:spPr>
              <a:solidFill>
                <a:schemeClr val="accent6"/>
              </a:solidFill>
              <a:ln w="19050">
                <a:solidFill>
                  <a:sysClr val="window" lastClr="FFFFFF"/>
                </a:solidFill>
              </a:ln>
              <a:effectLst/>
            </c:spPr>
          </c:dPt>
          <c:dPt>
            <c:idx val="6"/>
            <c:bubble3D val="false"/>
            <c:spPr>
              <a:solidFill>
                <a:schemeClr val="accent1">
                  <a:lumMod val="60000"/>
                </a:schemeClr>
              </a:solidFill>
              <a:ln w="19050">
                <a:solidFill>
                  <a:sysClr val="window" lastClr="FFFFFF"/>
                </a:solidFill>
              </a:ln>
              <a:effectLst/>
            </c:spPr>
          </c:dPt>
          <c:dLbls>
            <c:delete val="true"/>
          </c:dLbls>
          <c:cat>
            <c:strRef>
              <c:f>Sheet1!$A$2:$A$8</c:f>
              <c:strCache>
                <c:ptCount val="7"/>
                <c:pt idx="0">
                  <c:v>一般公共服务支出</c:v>
                </c:pt>
                <c:pt idx="1">
                  <c:v>社会保障和就业支出</c:v>
                </c:pt>
                <c:pt idx="2">
                  <c:v>卫生健康支出</c:v>
                </c:pt>
                <c:pt idx="3">
                  <c:v>住房保障支出</c:v>
                </c:pt>
                <c:pt idx="4">
                  <c:v>教育支出</c:v>
                </c:pt>
                <c:pt idx="5">
                  <c:v>科学技术支出</c:v>
                </c:pt>
                <c:pt idx="6">
                  <c:v>文化旅游体育与传媒支出</c:v>
                </c:pt>
              </c:strCache>
            </c:strRef>
          </c:cat>
          <c:val>
            <c:numRef>
              <c:f>Sheet1!$B$2:$B$8</c:f>
              <c:numCache>
                <c:formatCode>General</c:formatCode>
                <c:ptCount val="7"/>
                <c:pt idx="0">
                  <c:v>84.77</c:v>
                </c:pt>
                <c:pt idx="1">
                  <c:v>5.33</c:v>
                </c:pt>
                <c:pt idx="2">
                  <c:v>3.62</c:v>
                </c:pt>
                <c:pt idx="3">
                  <c:v>6.28</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690097087378641"/>
          <c:y val="0.302360248447205"/>
          <c:w val="0.294368932038835"/>
          <c:h val="0.554285714285714"/>
        </c:manualLayout>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u="none" strike="noStrike" kern="1200" cap="none" spc="0" normalizeH="0">
          <a:solidFill>
            <a:schemeClr val="tx1"/>
          </a:solidFill>
          <a:uFill>
            <a:solidFill>
              <a:sysClr val="windowText" lastClr="000000"/>
            </a:solidFill>
          </a:uFill>
          <a:latin typeface="宋体" panose="02010600030101010101" charset="-122"/>
          <a:ea typeface="仿宋_GB2312" panose="02010609030101010101" pitchFamily="3"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r>
              <a:rPr sz="1400"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图</a:t>
            </a:r>
            <a:r>
              <a:rPr lang="en-US" altLang="zh-CN" sz="1400"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7</a:t>
            </a:r>
            <a:r>
              <a:rPr altLang="en-US" sz="1400"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a:t>
            </a:r>
            <a:r>
              <a:rPr sz="1400"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“三公”经费财政</a:t>
            </a:r>
            <a:r>
              <a:rPr sz="1400">
                <a:solidFill>
                  <a:schemeClr val="tx1"/>
                </a:solidFill>
                <a:uFill>
                  <a:solidFill>
                    <a:sysClr val="windowText" lastClr="000000"/>
                  </a:solidFill>
                </a:uFill>
                <a:latin typeface="宋体" panose="02010600030101010101" charset="-122"/>
                <a:ea typeface="仿宋_GB2312" panose="02010609030101010101" pitchFamily="3" charset="-122"/>
              </a:rPr>
              <a:t>拨款</a:t>
            </a:r>
            <a:r>
              <a:rPr sz="1400"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rPr>
              <a:t>支出结构</a:t>
            </a:r>
            <a:endParaRPr sz="1400" u="none" strike="noStrike" cap="none" normalizeH="0">
              <a:solidFill>
                <a:schemeClr val="tx1"/>
              </a:solidFill>
              <a:uFill>
                <a:solidFill>
                  <a:sysClr val="windowText" lastClr="000000"/>
                </a:solidFill>
              </a:uFill>
              <a:latin typeface="宋体" panose="02010600030101010101" charset="-122"/>
              <a:ea typeface="仿宋_GB2312" panose="02010609030101010101" pitchFamily="3" charset="-122"/>
            </a:endParaRPr>
          </a:p>
        </c:rich>
      </c:tx>
      <c:layout>
        <c:manualLayout>
          <c:xMode val="edge"/>
          <c:yMode val="edge"/>
          <c:x val="0.182788783123231"/>
          <c:y val="0.0193648334624322"/>
        </c:manualLayout>
      </c:layout>
      <c:overlay val="false"/>
      <c:spPr>
        <a:noFill/>
        <a:ln>
          <a:noFill/>
        </a:ln>
        <a:effectLst/>
      </c:spPr>
    </c:title>
    <c:autoTitleDeleted val="false"/>
    <c:plotArea>
      <c:layout/>
      <c:pieChart>
        <c:varyColors val="true"/>
        <c:ser>
          <c:idx val="0"/>
          <c:order val="0"/>
          <c:tx>
            <c:strRef>
              <c:f>Sheet1!$B$1</c:f>
              <c:strCache>
                <c:ptCount val="1"/>
                <c:pt idx="0">
                  <c:v>“三公”经费财政拨款支出</c:v>
                </c:pt>
              </c:strCache>
            </c:strRef>
          </c:tx>
          <c:spPr/>
          <c:explosion val="0"/>
          <c:dPt>
            <c:idx val="0"/>
            <c:bubble3D val="false"/>
            <c:spPr>
              <a:solidFill>
                <a:schemeClr val="accent1"/>
              </a:solidFill>
              <a:ln w="19050">
                <a:solidFill>
                  <a:sysClr val="window" lastClr="FFFFFF"/>
                </a:solidFill>
              </a:ln>
              <a:effectLst/>
            </c:spPr>
          </c:dPt>
          <c:dPt>
            <c:idx val="1"/>
            <c:bubble3D val="false"/>
            <c:spPr>
              <a:solidFill>
                <a:schemeClr val="accent2"/>
              </a:solidFill>
              <a:ln w="19050">
                <a:solidFill>
                  <a:sysClr val="window" lastClr="FFFFFF"/>
                </a:solidFill>
              </a:ln>
              <a:effectLst/>
            </c:spPr>
          </c:dPt>
          <c:dPt>
            <c:idx val="2"/>
            <c:bubble3D val="false"/>
            <c:spPr>
              <a:solidFill>
                <a:schemeClr val="accent3"/>
              </a:solidFill>
              <a:ln w="19050">
                <a:solidFill>
                  <a:sysClr val="window" lastClr="FFFFFF"/>
                </a:solidFill>
              </a:ln>
              <a:effectLst/>
            </c:spPr>
          </c:dPt>
          <c:dLbls>
            <c:delete val="true"/>
          </c:dLbls>
          <c:cat>
            <c:strRef>
              <c:f>Sheet1!$A$2:$A$4</c:f>
              <c:strCache>
                <c:ptCount val="3"/>
                <c:pt idx="0">
                  <c:v>公务用车购置及运行维护费</c:v>
                </c:pt>
                <c:pt idx="1">
                  <c:v>公务接待费</c:v>
                </c:pt>
                <c:pt idx="2">
                  <c:v>因公出国（境）费</c:v>
                </c:pt>
              </c:strCache>
            </c:strRef>
          </c:cat>
          <c:val>
            <c:numRef>
              <c:f>Sheet1!$B$2:$B$4</c:f>
              <c:numCache>
                <c:formatCode>0.00%</c:formatCode>
                <c:ptCount val="3"/>
                <c:pt idx="0">
                  <c:v>1</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Entry>
      <c:layout>
        <c:manualLayout>
          <c:xMode val="edge"/>
          <c:yMode val="edge"/>
          <c:x val="0.65003092583706"/>
          <c:y val="0.420539633359153"/>
          <c:w val="0.346110056925996"/>
          <c:h val="0.267489711934156"/>
        </c:manualLayout>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solidFill>
              <a:uFill>
                <a:solidFill>
                  <a:sysClr val="windowText" lastClr="000000"/>
                </a:solidFill>
              </a:uFill>
              <a:latin typeface="宋体" panose="02010600030101010101" charset="-122"/>
              <a:ea typeface="仿宋_GB2312" panose="02010609030101010101" pitchFamily="3" charset="-122"/>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1000" u="none" strike="noStrike" kern="1200" cap="none" spc="0" normalizeH="0">
          <a:solidFill>
            <a:schemeClr val="tx1"/>
          </a:solidFill>
          <a:uFill>
            <a:solidFill>
              <a:sysClr val="windowText" lastClr="000000"/>
            </a:solidFill>
          </a:uFill>
          <a:latin typeface="宋体" panose="02010600030101010101" charset="-122"/>
          <a:ea typeface="仿宋_GB2312" panose="02010609030101010101" pitchFamily="3"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4915</Words>
  <Characters>5495</Characters>
  <Lines>0</Lines>
  <Paragraphs>0</Paragraphs>
  <TotalTime>53</TotalTime>
  <ScaleCrop>false</ScaleCrop>
  <LinksUpToDate>false</LinksUpToDate>
  <CharactersWithSpaces>5506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2023-09-25T09:57:00Z</dcterms:created>
  <dc:creator>零酱很烦躁</dc:creator>
  <cp:lastModifiedBy>bubble</cp:lastModifiedBy>
  <dcterms:modified xsi:type="dcterms:W3CDTF">2023-10-10T14:29:25Z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8A3B91E3D3334979B30662446F15A38E_11</vt:lpwstr>
  </property>
</Properties>
</file>