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巴中市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培育壮大</w:t>
      </w:r>
      <w:r>
        <w:rPr>
          <w:rFonts w:hint="eastAsia" w:eastAsia="方正小标宋简体" w:cs="Times New Roman"/>
          <w:sz w:val="44"/>
          <w:szCs w:val="44"/>
          <w:lang w:eastAsia="zh-CN"/>
        </w:rPr>
        <w:t>市场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主体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的十四条措施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为营造良好的投资创业环境，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auto"/>
          <w:spacing w:val="0"/>
          <w:kern w:val="0"/>
          <w:sz w:val="32"/>
          <w:szCs w:val="32"/>
          <w:lang w:val="en-US" w:eastAsia="zh-CN" w:bidi="ar-SA"/>
        </w:rPr>
        <w:t>培育和激发各类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smallCaps w:val="0"/>
          <w:color w:val="auto"/>
          <w:spacing w:val="0"/>
          <w:kern w:val="0"/>
          <w:sz w:val="32"/>
          <w:szCs w:val="32"/>
          <w:lang w:val="en-US" w:eastAsia="zh-CN" w:bidi="ar-SA"/>
        </w:rPr>
        <w:t>市场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auto"/>
          <w:spacing w:val="0"/>
          <w:kern w:val="0"/>
          <w:sz w:val="32"/>
          <w:szCs w:val="32"/>
          <w:lang w:val="en-US" w:eastAsia="zh-CN" w:bidi="ar-SA"/>
        </w:rPr>
        <w:t>主体活力和社会创造力，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不断发展壮大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eastAsia="zh-CN"/>
        </w:rPr>
        <w:t>市场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主体，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auto"/>
          <w:spacing w:val="0"/>
          <w:kern w:val="0"/>
          <w:sz w:val="32"/>
          <w:szCs w:val="32"/>
          <w:lang w:val="en-US" w:eastAsia="zh-CN" w:bidi="ar-SA"/>
        </w:rPr>
        <w:t>推动全市经济高质量发展。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auto"/>
          <w:spacing w:val="0"/>
          <w:sz w:val="32"/>
          <w:szCs w:val="32"/>
          <w:lang w:eastAsia="zh-CN"/>
        </w:rPr>
        <w:t>制定以下措施。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</w:rPr>
        <w:t>优化企业开办流程。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全面推广“一件事一次办”服务和“集成化”办理模式，将企业开办6个事项整合为1个环节，实现企业开办“4小时办结、零成本”，</w:t>
      </w:r>
      <w:r>
        <w:rPr>
          <w:rFonts w:hint="eastAsia" w:eastAsia="宋体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市场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主体设立登记、备案当场办结。扩大“营商通”“一窗通”平台应用，全程电子化登记率达90％以上。升级完善企业开办综合窗口，配备导办、纳税服务人员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对申报资料齐全的做到“一网、一门、一窗、一次”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办结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。（牵头单位：市市场监管局；责任单位：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市公安局、市税务局、市人力资源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社会保障局、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 w:bidi="ar-SA"/>
        </w:rPr>
        <w:t>巴中市医疗保障局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、市住房公积金管理中心、人行巴中市中心支行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，以下均需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各县区人民政府、经开区管委会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负责，不再列出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二、改进审批服务举措。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深化工程建设项目审批制度改革，完善审批流程图和办事指南</w:t>
      </w:r>
      <w:r>
        <w:rPr>
          <w:rFonts w:hint="eastAsia" w:eastAsia="宋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优化网上政务服务。畅通重大项目绿色通道，设置综合办事窗口，实行集中会商和帮办代办服务</w:t>
      </w:r>
      <w:r>
        <w:rPr>
          <w:rFonts w:hint="eastAsia" w:eastAsia="宋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为企业发展提供“一站式”服务。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企业供水燃气接入推行客户代表制，由供水供气服务企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业主动对接获取企业项目信息，推动实现首次接入报装“零材料”“零跑腿”“零费用”。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（牵头单位：市政务服务和公共资源交易服务中心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市住房城乡建设局、市公用事业集团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；责任单位：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相关市级部门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）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三、放宽住所登记条件。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探索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住所（经营场所）申报承诺制，允许“一址多照”“一照多址”，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鼓励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企业可以将住宅作为住所用于行政办公、通讯联络，或以住宅从事数据处理、数字动漫设计、游戏设计、文化创意、策划设计、软件开发、网络技术服务、翻译服务、电子商务、管理咨询等10类不影响居民正常生活经营活动的经营场所。（牵头单位：市市场监管局；责任单位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市住房城乡建设局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 xml:space="preserve">、市自然资源规划局等部门）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四、支持平台经济发展。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支持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和引导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电子商务平台壮大经营者规模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6"/>
          <w:sz w:val="32"/>
          <w:szCs w:val="32"/>
        </w:rPr>
        <w:t>放宽个体工商户入驻条件，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对于新申请的符合条件的本地互联网平台，提供全程电子化集群注册支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持。支持异地电商平台中的本地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市场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 xml:space="preserve">主体线下登记为个体工商户，允许其将网络经营场所作为经营场所进行登记，依法保护其合法经营权益。（牵头单位：市市场监管局；责任单位：市商务局）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五、推进电子证照共享。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推动电子营业执照跨部门、跨行业、跨领域互信互认、互通互用，实现市场主体身份在线“一次验证、全网通用”。推进部门间数据共享和业务协同，凡是通过电子证照可以获取的信息，一律不再要求企业提供相应材料。（牵头单位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市政务服务和大数据管理局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、市市场监管局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；责任单位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0"/>
          <w:sz w:val="32"/>
          <w:szCs w:val="32"/>
          <w:lang w:eastAsia="zh-CN"/>
        </w:rPr>
        <w:t>相关市级部门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六、降低水电气成本。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 xml:space="preserve">严格落实水电气价格管理政策，降低用水用电用气费用。动员、指导企业充分利用电价优惠政策、合理购电、科学用电。强化水电气等公用行业价费执行、转供电主体不合理收费等专项检查，打击乱加价行为，督促供水供电供气企业加强管理，加强信息公示，自觉接受社会监督。（牵头单位：市发展改革委；责任单位：市市场监管局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七、完善信贷配套服务。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围绕工业强市、乡村振兴、创新驱动、绿色发展等重点领域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构建金融全流程快速直达服务通道。支持加大信贷投放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完善银行机构支持地方经济发展评价机制，引导银行、地方金融组织加大对重点领域、重点项目、重点产业的支持。（牵头单位：市金融工作局；责任单位：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人行巴中市中心支行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巴中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银保监分局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等部门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八、提升招商引资质效。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聚焦加快构建现代农业、现代工业、现代服务业体系，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精准对接全球产业链供应链重塑和国内统一大市场重构，挖掘巴中主导产业、优势产业和特色产业，围绕重点产业链生产、消费、使用等环节，配套制定专项政策措施，形成重点产业链发展的要素资源优势和政策引导效应，带动产业链上下游</w:t>
      </w:r>
      <w:r>
        <w:rPr>
          <w:rFonts w:hint="eastAsia" w:eastAsia="仿宋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市场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主体健康发展。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（牵头单位：市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投资促进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局；责任单位：市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农业农村局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、市经济和信息化局、市商务局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等部门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九、加强知识产权服务。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sz w:val="32"/>
          <w:szCs w:val="32"/>
          <w:lang w:eastAsia="zh-CN"/>
        </w:rPr>
        <w:t>加强商标培育，建立知识产权质押融资补偿机制，探索建立知识产权公共服务平台，组建专家团队开展知识产权“入园惠企”活动，指导企业申报省级专利转化项目。修订完善地理标志产品地方标准，释放地标品牌效应。（牵头单位：市市场监管局；责任单位：相关市级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pacing w:val="0"/>
          <w:sz w:val="32"/>
          <w:szCs w:val="32"/>
          <w:lang w:eastAsia="zh-CN"/>
        </w:rPr>
        <w:t>十、提升产品品牌质量。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进一步推动产品质量、服务质量、工程质量提升，引导鼓励企业提升质量品牌，支持企业争创中国质量奖、天府质量奖、天府名品。用好“川质通”线上服务平台，为企业提供“一站式”公共检验检测服务。指导企业加强生产工艺和质量控制，帮助产品质量不合格生产企业整改提升。（牵头单位：市市场监管局；责任单位：相关市级部门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十一、维护公平市场环境。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全面实施市场准入负面清单制度，对清单之外的行业、领域、业务等，各类</w:t>
      </w:r>
      <w:r>
        <w:rPr>
          <w:rFonts w:hint="eastAsia" w:eastAsia="宋体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市场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主体皆可依法平等进入</w:t>
      </w:r>
      <w:r>
        <w:rPr>
          <w:rFonts w:hint="eastAsia" w:eastAsia="宋体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6"/>
          <w:sz w:val="32"/>
          <w:szCs w:val="32"/>
        </w:rPr>
        <w:t>全面落实公平竞争审查制度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6"/>
          <w:sz w:val="32"/>
          <w:szCs w:val="32"/>
        </w:rPr>
        <w:t>加强存量政策清理和增量政策审查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6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及时发现并破除各种形式的市场准入不合理限制和隐性壁垒。加强反不正当竞争执法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公平对待各类</w:t>
      </w:r>
      <w:r>
        <w:rPr>
          <w:rFonts w:hint="eastAsia" w:eastAsia="仿宋_GB2312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市场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  <w:t>主体，坚决查处乱收费、变相涨价等行为。（牵头单位：市市场监管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局；责任单位：市发展改革委、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市商务局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pacing w:val="0"/>
          <w:sz w:val="32"/>
          <w:szCs w:val="32"/>
          <w:lang w:eastAsia="zh-CN"/>
        </w:rPr>
        <w:t>十二、实施包容审慎监管。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eastAsia="zh-CN"/>
        </w:rPr>
        <w:t>严格推行《检查事项目录》《不予处罚、免予处罚、减轻处罚、从轻处罚、从重处罚清单》，平等对待被检查对象，依法慎用查封、扣押、冻结等强制措施，慎用信息公示处罚措施，减少执法活动对市场主体正常经营活动的影响。常态化实施市场监管领域部门联合“双随机、一公开”监管和跨部门综合监管。（牵头单位：市司法局；责任单位：市市场监管局、市政务服务和大数据管理局等部门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十三、畅通政企沟通渠道。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持续开展民营企业暨外来投资企业协调服务座谈会，依托四川省民营企业维权服务平台，“企业合理合法诉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求动态清零”服务热线、巴中助企纾困政策专题栏，收集企业关注重点、矛盾交织热点，加强信息对接、线索移送、督促办理，力争做到“回应一个诉求，解决一类问题，提升一个领域”。持续开展惠企提能24小时企业服务专线（0827-5615678），实行企业合理合法诉求“一号受理、一键转办”，实现企业合理合法诉求问题“动态清零”。（牵头单位：市市场监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管局；责任单位：相关市级部门）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十四、开展分型分类培育。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探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 xml:space="preserve">索开展个体工商户分型分类培育，按照不低于30%的比例，对全市在库个体工商户进行抽样摸底调查，准确掌握个体工商户存续时间、经营状况、营业收入、雇员人数、纳税贡献、社保缴纳、品牌专利等基本情况，建立个体工商户“生存型、成长型、发展型”以及“名、特、优、新”名录库，实施分型分类培育和精准帮扶。（牵头单位：市市场监管局；责任单位：相关市级部门） </w:t>
      </w:r>
    </w:p>
    <w:p/>
    <w:sectPr>
      <w:footerReference r:id="rId5" w:type="default"/>
      <w:pgSz w:w="11906" w:h="16838"/>
      <w:pgMar w:top="2098" w:right="1474" w:bottom="1984" w:left="1587" w:header="851" w:footer="1134" w:gutter="0"/>
      <w:pgNumType w:fmt="decimal" w:start="2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DF55F8"/>
    <w:rsid w:val="75922051"/>
    <w:rsid w:val="BDDF5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next w:val="1"/>
    <w:qFormat/>
    <w:uiPriority w:val="0"/>
    <w:pPr>
      <w:spacing w:before="26"/>
      <w:ind w:left="120"/>
      <w:jc w:val="left"/>
    </w:pPr>
    <w:rPr>
      <w:rFonts w:ascii="方正仿宋_GBK" w:eastAsia="方正仿宋_GBK" w:cs="方正仿宋_GBK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2024-03-12T09:12:00Z</dcterms:created>
  <dc:creator>user</dc:creator>
  <cp:lastModifiedBy>刘盼宏</cp:lastModifiedBy>
  <dcterms:modified xsi:type="dcterms:W3CDTF">2024-03-13T06:24:18Z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B72139ED179245978F5D3949800740E7_13</vt:lpwstr>
  </property>
</Properties>
</file>