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7"/>
        <w:spacing w:before="64"/>
        <w:ind w:left="350"/>
        <w:rPr>
          <w:rFonts w:ascii="黑体" w:hAnsi="黑体"/>
        </w:rPr>
      </w:pPr>
      <w:r>
        <w:rPr>
          <w:rFonts w:ascii="Times New Roman" w:hAnsi="Times New Roman"/>
          <w:position w:val="2"/>
        </w:rPr>
        <w:t>ICS</w:t>
      </w:r>
      <w:r>
        <w:rPr>
          <w:rFonts w:ascii="Times New Roman" w:hAnsi="Times New Roman"/>
          <w:spacing w:val="36"/>
          <w:position w:val="2"/>
        </w:rPr>
        <w:t xml:space="preserve">  </w:t>
      </w:r>
      <w:r>
        <w:rPr>
          <w:rFonts w:ascii="黑体" w:hAnsi="黑体"/>
          <w:spacing w:val="-2"/>
        </w:rPr>
        <w:t>65.0</w:t>
      </w:r>
      <w:r>
        <w:rPr>
          <w:rFonts w:ascii="黑体" w:hAnsi="黑体" w:hint="eastAsia"/>
          <w:spacing w:val="-2"/>
          <w:lang w:val="en-US" w:eastAsia="zh-CN"/>
        </w:rPr>
        <w:t>2</w:t>
      </w:r>
      <w:r>
        <w:rPr>
          <w:rFonts w:ascii="黑体" w:hAnsi="黑体"/>
          <w:spacing w:val="-2"/>
        </w:rPr>
        <w:t>0.</w:t>
      </w:r>
      <w:r>
        <w:rPr>
          <w:rFonts w:ascii="黑体" w:hAnsi="黑体" w:hint="eastAsia"/>
          <w:spacing w:val="-2"/>
          <w:lang w:val="en-US" w:eastAsia="zh-CN"/>
        </w:rPr>
        <w:t>2</w:t>
      </w:r>
      <w:r>
        <w:rPr>
          <w:rFonts w:ascii="黑体" w:hAnsi="黑体"/>
          <w:spacing w:val="-2"/>
        </w:rPr>
        <w:t>0</w:t>
      </w:r>
    </w:p>
    <w:p>
      <w:pPr>
        <w:pStyle w:val="17"/>
        <w:spacing w:before="37"/>
        <w:ind w:left="350"/>
        <w:rPr>
          <w:rFonts w:ascii="黑体" w:eastAsia="宋体" w:hAnsi="黑体"/>
          <w:lang w:val="en-US" w:eastAsia="zh-CN"/>
        </w:rPr>
      </w:pPr>
      <w:r>
        <w:rPr>
          <w:rFonts w:ascii="Times New Roman" w:hAnsi="Times New Roman"/>
          <w:position w:val="2"/>
        </w:rPr>
        <w:t>CCS</w:t>
      </w:r>
      <w:r>
        <w:rPr>
          <w:rFonts w:ascii="Times New Roman" w:hAnsi="Times New Roman"/>
          <w:spacing w:val="57"/>
          <w:position w:val="2"/>
        </w:rPr>
        <w:t xml:space="preserve"> </w:t>
      </w:r>
      <w:r>
        <w:rPr>
          <w:rFonts w:ascii="黑体" w:hAnsi="黑体" w:hint="eastAsia"/>
          <w:lang w:val="en-US" w:eastAsia="zh-CN"/>
        </w:rPr>
        <w:t>X</w:t>
      </w:r>
      <w:r>
        <w:rPr>
          <w:rFonts w:ascii="黑体" w:hAnsi="黑体"/>
          <w:spacing w:val="-5"/>
        </w:rPr>
        <w:t xml:space="preserve"> </w:t>
      </w:r>
      <w:r>
        <w:rPr>
          <w:rFonts w:ascii="黑体" w:hAnsi="黑体" w:hint="eastAsia"/>
          <w:spacing w:val="-5"/>
          <w:lang w:val="en-US" w:eastAsia="zh-CN"/>
        </w:rPr>
        <w:t>10</w:t>
      </w:r>
    </w:p>
    <w:p>
      <w:pPr>
        <w:pStyle w:val="21"/>
        <w:spacing w:before="0" w:line="640" w:lineRule="exact"/>
        <w:ind w:left="1605"/>
        <w:rPr>
          <w:b w:val="0"/>
        </w:rPr>
      </w:pPr>
      <w:r>
        <w:rPr>
          <w:b w:val="0"/>
        </w:rPr>
        <w:br w:type="column"/>
      </w:r>
    </w:p>
    <w:p>
      <w:pPr>
        <w:pStyle w:val="21"/>
      </w:pPr>
      <w:r>
        <w:drawing>
          <wp:anchor distT="0" distB="0" distL="0" distR="0" simplePos="0" relativeHeight="20" behindDoc="0" locked="0" layoutInCell="1" hidden="0" allowOverlap="1">
            <wp:simplePos x="0" y="0"/>
            <wp:positionH relativeFrom="page">
              <wp:posOffset>4060824</wp:posOffset>
            </wp:positionH>
            <wp:positionV relativeFrom="paragraph">
              <wp:posOffset>448152</wp:posOffset>
            </wp:positionV>
            <wp:extent cx="823594" cy="4330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image1.png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3594" cy="43307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pacing w:val="-4"/>
          <w:w w:val="130"/>
        </w:rPr>
        <w:t>5119</w:t>
      </w:r>
    </w:p>
    <w:p>
      <w:pPr>
        <w:spacing w:after="0"/>
        <w:sectPr>
          <w:headerReference w:type="first" r:id="rId2"/>
          <w:footerReference w:type="default" r:id="rId3"/>
          <w:type w:val="continuous"/>
          <w:pgSz w:w="11910" w:h="16840"/>
          <w:pgMar w:top="480" w:right="720" w:bottom="280" w:left="1020" w:header="0" w:footer="0" w:gutter="0"/>
          <w:pgNumType w:start="3"/>
          <w:cols w:num="2" w:space="3213" w:equalWidth="0">
            <w:col w:w="1842" w:space="3213"/>
            <w:col w:w="5115"/>
          </w:cols>
          <w:docGrid w:linePitch="312" w:charSpace="0"/>
        </w:sectPr>
      </w:pPr>
    </w:p>
    <w:p>
      <w:pPr>
        <w:spacing w:before="114"/>
        <w:ind w:right="0" w:firstLineChars="50" w:firstLine="240"/>
        <w:jc w:val="both"/>
        <w:rPr>
          <w:rFonts w:ascii="黑体" w:eastAsia="黑体"/>
          <w:sz w:val="48"/>
        </w:rPr>
      </w:pPr>
      <w:r>
        <w:rPr>
          <w:rFonts w:ascii="黑体" w:eastAsia="黑体"/>
          <w:sz w:val="48"/>
        </w:rPr>
        <w:t>四</w:t>
      </w:r>
      <w:r>
        <w:rPr>
          <w:rFonts w:ascii="黑体" w:eastAsia="黑体"/>
          <w:spacing w:val="-8"/>
          <w:w w:val="150"/>
          <w:sz w:val="48"/>
        </w:rPr>
        <w:t xml:space="preserve">  </w:t>
      </w:r>
      <w:r>
        <w:rPr>
          <w:rFonts w:ascii="黑体" w:eastAsia="黑体"/>
          <w:sz w:val="48"/>
        </w:rPr>
        <w:t>川</w:t>
      </w:r>
      <w:r>
        <w:rPr>
          <w:rFonts w:ascii="黑体" w:eastAsia="黑体"/>
          <w:spacing w:val="-8"/>
          <w:w w:val="150"/>
          <w:sz w:val="48"/>
        </w:rPr>
        <w:t xml:space="preserve">  </w:t>
      </w:r>
      <w:r>
        <w:rPr>
          <w:rFonts w:ascii="黑体" w:eastAsia="黑体"/>
          <w:sz w:val="48"/>
        </w:rPr>
        <w:t>省</w:t>
      </w:r>
      <w:r>
        <w:rPr>
          <w:rFonts w:ascii="黑体" w:eastAsia="黑体"/>
          <w:spacing w:val="-8"/>
          <w:w w:val="150"/>
          <w:sz w:val="48"/>
        </w:rPr>
        <w:t xml:space="preserve">  </w:t>
      </w:r>
      <w:r>
        <w:rPr>
          <w:rFonts w:ascii="黑体" w:eastAsia="黑体"/>
          <w:sz w:val="48"/>
        </w:rPr>
        <w:t>（</w:t>
      </w:r>
      <w:r>
        <w:rPr>
          <w:rFonts w:ascii="黑体" w:eastAsia="黑体"/>
          <w:spacing w:val="-8"/>
          <w:w w:val="150"/>
          <w:sz w:val="48"/>
        </w:rPr>
        <w:t xml:space="preserve"> </w:t>
      </w:r>
      <w:r>
        <w:rPr>
          <w:rFonts w:ascii="黑体" w:eastAsia="黑体"/>
          <w:sz w:val="48"/>
        </w:rPr>
        <w:t xml:space="preserve">巴 </w:t>
      </w:r>
      <w:r>
        <w:rPr>
          <w:rFonts w:ascii="黑体" w:eastAsia="黑体"/>
          <w:spacing w:val="-8"/>
          <w:w w:val="150"/>
          <w:sz w:val="48"/>
        </w:rPr>
        <w:t xml:space="preserve"> </w:t>
      </w:r>
      <w:r>
        <w:rPr>
          <w:rFonts w:ascii="黑体" w:eastAsia="黑体"/>
          <w:sz w:val="48"/>
        </w:rPr>
        <w:t>中</w:t>
      </w:r>
      <w:r>
        <w:rPr>
          <w:rFonts w:ascii="黑体" w:eastAsia="黑体"/>
          <w:spacing w:val="-8"/>
          <w:w w:val="150"/>
          <w:sz w:val="48"/>
        </w:rPr>
        <w:t xml:space="preserve">  </w:t>
      </w:r>
      <w:r>
        <w:rPr>
          <w:rFonts w:ascii="黑体" w:eastAsia="黑体"/>
          <w:sz w:val="48"/>
        </w:rPr>
        <w:t>市</w:t>
      </w:r>
      <w:r>
        <w:rPr>
          <w:rFonts w:ascii="黑体" w:eastAsia="黑体"/>
          <w:spacing w:val="-8"/>
          <w:w w:val="150"/>
          <w:sz w:val="48"/>
        </w:rPr>
        <w:t xml:space="preserve">  </w:t>
      </w:r>
      <w:r>
        <w:rPr>
          <w:rFonts w:ascii="黑体" w:eastAsia="黑体"/>
          <w:sz w:val="48"/>
        </w:rPr>
        <w:t>）</w:t>
      </w:r>
      <w:r>
        <w:rPr>
          <w:rFonts w:ascii="黑体" w:eastAsia="黑体"/>
          <w:spacing w:val="-10"/>
          <w:w w:val="150"/>
          <w:sz w:val="48"/>
        </w:rPr>
        <w:t xml:space="preserve">  </w:t>
      </w:r>
      <w:r>
        <w:rPr>
          <w:rFonts w:ascii="黑体" w:eastAsia="黑体"/>
          <w:sz w:val="48"/>
        </w:rPr>
        <w:t>地</w:t>
      </w:r>
      <w:r>
        <w:rPr>
          <w:rFonts w:ascii="黑体" w:eastAsia="黑体"/>
          <w:spacing w:val="-8"/>
          <w:w w:val="150"/>
          <w:sz w:val="48"/>
        </w:rPr>
        <w:t xml:space="preserve">  </w:t>
      </w:r>
      <w:r>
        <w:rPr>
          <w:rFonts w:ascii="黑体" w:eastAsia="黑体"/>
          <w:sz w:val="48"/>
        </w:rPr>
        <w:t>方</w:t>
      </w:r>
      <w:r>
        <w:rPr>
          <w:rFonts w:ascii="黑体" w:eastAsia="黑体"/>
          <w:spacing w:val="-8"/>
          <w:w w:val="150"/>
          <w:sz w:val="48"/>
        </w:rPr>
        <w:t xml:space="preserve">  </w:t>
      </w:r>
      <w:r>
        <w:rPr>
          <w:rFonts w:ascii="黑体" w:eastAsia="黑体"/>
          <w:sz w:val="48"/>
        </w:rPr>
        <w:t>标</w:t>
      </w:r>
      <w:r>
        <w:rPr>
          <w:rFonts w:ascii="黑体" w:eastAsia="黑体"/>
          <w:spacing w:val="-8"/>
          <w:w w:val="150"/>
          <w:sz w:val="48"/>
        </w:rPr>
        <w:t xml:space="preserve">  </w:t>
      </w:r>
      <w:r>
        <w:rPr>
          <w:rFonts w:ascii="黑体" w:eastAsia="黑体"/>
          <w:spacing w:val="-10"/>
          <w:sz w:val="48"/>
        </w:rPr>
        <w:t>准</w:t>
      </w:r>
    </w:p>
    <w:p>
      <w:pPr>
        <w:spacing w:before="341"/>
        <w:ind w:left="0" w:right="413" w:firstLine="0"/>
        <w:jc w:val="right"/>
        <w:rPr>
          <w:rFonts w:ascii="黑体" w:hAnsi="黑体"/>
          <w:sz w:val="28"/>
        </w:rPr>
      </w:pPr>
      <w:r>
        <w:rPr>
          <w:rFonts w:ascii="黑体" w:hAnsi="黑体"/>
          <w:sz w:val="28"/>
        </w:rPr>
        <w:t>DB5</w:t>
      </w:r>
      <w:r>
        <w:rPr>
          <w:rFonts w:ascii="黑体" w:hAnsi="黑体" w:hint="eastAsia"/>
          <w:sz w:val="28"/>
          <w:lang w:val="en-US" w:eastAsia="zh-CN"/>
        </w:rPr>
        <w:t>1</w:t>
      </w:r>
      <w:r>
        <w:rPr>
          <w:rFonts w:ascii="黑体" w:hAnsi="黑体"/>
          <w:sz w:val="28"/>
        </w:rPr>
        <w:t>19/T</w:t>
      </w:r>
      <w:r>
        <w:rPr>
          <w:rFonts w:ascii="黑体" w:hAnsi="黑体" w:hint="eastAsia"/>
          <w:sz w:val="28"/>
          <w:lang w:val="en-US" w:eastAsia="zh-CN"/>
        </w:rPr>
        <w:t xml:space="preserve"> </w:t>
      </w:r>
      <w:r>
        <w:rPr>
          <w:rFonts w:ascii="黑体" w:hAnsi="黑体" w:hint="eastAsia"/>
          <w:spacing w:val="-14"/>
          <w:sz w:val="28"/>
          <w:lang w:val="en-US" w:eastAsia="zh-CN"/>
        </w:rPr>
        <w:t>XX</w:t>
      </w:r>
      <w:r>
        <w:rPr>
          <w:rFonts w:ascii="Times New Roman" w:hAnsi="Times New Roman"/>
          <w:sz w:val="28"/>
        </w:rPr>
        <w:t>—</w:t>
      </w:r>
      <w:r>
        <w:rPr>
          <w:rFonts w:ascii="黑体" w:hAnsi="黑体"/>
          <w:spacing w:val="-4"/>
          <w:sz w:val="28"/>
        </w:rPr>
        <w:t>2024</w:t>
      </w:r>
    </w:p>
    <w:p>
      <w:pPr>
        <w:pStyle w:val="17"/>
        <w:rPr>
          <w:rFonts w:ascii="黑体" w:hAnsi="黑体"/>
          <w:sz w:val="20"/>
        </w:rPr>
      </w:pPr>
    </w:p>
    <w:p>
      <w:pPr>
        <w:pStyle w:val="17"/>
        <w:spacing w:before="7"/>
        <w:rPr>
          <w:rFonts w:ascii="黑体" w:hAnsi="黑体"/>
          <w:sz w:val="29"/>
        </w:rPr>
      </w:pPr>
      <w:r>
        <mc:AlternateContent>
          <mc:Choice Requires="wps">
            <w:drawing>
              <wp:anchor distT="0" distB="0" distL="114298" distR="114298" simplePos="0" relativeHeight="22" behindDoc="0" locked="0" layoutInCell="1" hidden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255270</wp:posOffset>
                </wp:positionV>
                <wp:extent cx="6120130" cy="10159"/>
                <wp:effectExtent l="0" t="0" r="0" b="0"/>
                <wp:wrapTopAndBottom/>
                <wp:docPr id="4" name="docshape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10159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21598" y="21667"/>
                              </a:moveTo>
                              <a:lnTo>
                                <a:pt x="0" y="20249"/>
                              </a:lnTo>
                              <a:lnTo>
                                <a:pt x="0" y="0"/>
                              </a:lnTo>
                              <a:lnTo>
                                <a:pt x="21598" y="1417"/>
                              </a:lnTo>
                              <a:lnTo>
                                <a:pt x="21598" y="21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100" id="docshape1 5" o:spid="_x0000_s5" fillcolor="#000000" stroked="f" style="position:absolute;margin-left:70.9pt;margin-top:20.1pt;width:481.9pt;height:0.79999995pt;z-index:22;mso-position-horizontal:absolute;mso-position-horizontal-relative:page;mso-position-vertical:absolute;mso-wrap-distance-left:8.999863pt;mso-wrap-distance-right:8.999863pt;">
                <v:stroke color="#000000"/>
                <w10:wrap type="topAndBottom"/>
              </v:shape>
            </w:pict>
          </mc:Fallback>
        </mc:AlternateContent>
      </w:r>
    </w:p>
    <w:p>
      <w:pPr>
        <w:pStyle w:val="17"/>
        <w:rPr>
          <w:rFonts w:ascii="黑体" w:hAnsi="黑体"/>
          <w:sz w:val="34"/>
        </w:rPr>
      </w:pPr>
    </w:p>
    <w:p>
      <w:pPr>
        <w:pStyle w:val="17"/>
        <w:rPr>
          <w:rFonts w:ascii="黑体" w:hAnsi="黑体"/>
          <w:sz w:val="34"/>
        </w:rPr>
      </w:pPr>
    </w:p>
    <w:p>
      <w:pPr>
        <w:pStyle w:val="17"/>
        <w:rPr>
          <w:rFonts w:ascii="黑体" w:hAnsi="黑体"/>
          <w:sz w:val="34"/>
        </w:rPr>
      </w:pPr>
    </w:p>
    <w:p>
      <w:pPr>
        <w:pStyle w:val="17"/>
        <w:rPr>
          <w:rFonts w:ascii="黑体" w:hAnsi="黑体"/>
          <w:sz w:val="34"/>
        </w:rPr>
      </w:pPr>
    </w:p>
    <w:p>
      <w:pPr>
        <w:pStyle w:val="17"/>
        <w:spacing w:before="7"/>
        <w:rPr>
          <w:rFonts w:ascii="黑体" w:hAnsi="黑体"/>
          <w:sz w:val="34"/>
        </w:rPr>
      </w:pPr>
    </w:p>
    <w:p>
      <w:pPr>
        <w:spacing w:before="0"/>
        <w:ind w:left="269" w:right="0" w:firstLine="0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pacing w:val="-3"/>
          <w:sz w:val="52"/>
          <w:lang w:val="en-US" w:eastAsia="zh-CN"/>
        </w:rPr>
        <w:t>巴州区大罗黄花生产技术规程</w:t>
      </w:r>
    </w:p>
    <w:p>
      <w:pPr>
        <w:spacing w:before="375"/>
        <w:ind w:left="267" w:right="0" w:firstLine="0"/>
        <w:jc w:val="center"/>
        <w:rPr>
          <w:rFonts w:ascii="黑体" w:hAnsi="黑体" w:hint="eastAsia"/>
          <w:spacing w:val="-2"/>
          <w:sz w:val="28"/>
          <w:lang w:val="en-US" w:eastAsia="zh-CN"/>
        </w:rPr>
      </w:pPr>
      <w:r>
        <w:rPr>
          <w:rFonts w:ascii="黑体" w:hAnsi="黑体" w:hint="eastAsia"/>
          <w:sz w:val="28"/>
          <w:lang w:val="en-US" w:eastAsia="zh-CN"/>
        </w:rPr>
        <w:t>Produc</w:t>
      </w:r>
      <w:r>
        <w:rPr>
          <w:rFonts w:ascii="黑体" w:hAnsi="黑体"/>
          <w:sz w:val="28"/>
        </w:rPr>
        <w:t>tion</w:t>
      </w:r>
      <w:r>
        <w:rPr>
          <w:rFonts w:ascii="黑体" w:hAnsi="黑体"/>
          <w:spacing w:val="-8"/>
          <w:sz w:val="28"/>
        </w:rPr>
        <w:t xml:space="preserve"> </w:t>
      </w:r>
      <w:r>
        <w:rPr>
          <w:rFonts w:ascii="黑体" w:hAnsi="黑体" w:hint="eastAsia"/>
          <w:sz w:val="28"/>
          <w:lang w:val="en-US" w:eastAsia="zh-CN"/>
        </w:rPr>
        <w:t>Technical</w:t>
      </w:r>
      <w:r>
        <w:rPr>
          <w:rFonts w:ascii="黑体" w:hAnsi="黑体"/>
          <w:spacing w:val="-9"/>
          <w:sz w:val="28"/>
        </w:rPr>
        <w:t xml:space="preserve"> </w:t>
      </w:r>
      <w:r>
        <w:rPr>
          <w:rFonts w:ascii="黑体" w:hAnsi="黑体" w:hint="eastAsia"/>
          <w:sz w:val="28"/>
          <w:lang w:val="en-US" w:eastAsia="zh-CN"/>
        </w:rPr>
        <w:t>Regulation</w:t>
      </w:r>
      <w:r>
        <w:rPr>
          <w:rFonts w:ascii="黑体" w:hAnsi="黑体"/>
          <w:spacing w:val="-8"/>
          <w:sz w:val="28"/>
        </w:rPr>
        <w:t xml:space="preserve"> </w:t>
      </w:r>
      <w:r>
        <w:rPr>
          <w:rFonts w:ascii="黑体" w:hAnsi="黑体" w:hint="eastAsia"/>
          <w:sz w:val="28"/>
          <w:lang w:val="en-US" w:eastAsia="zh-CN"/>
        </w:rPr>
        <w:t>for</w:t>
      </w:r>
      <w:r>
        <w:rPr>
          <w:rFonts w:ascii="黑体" w:hAnsi="黑体"/>
          <w:spacing w:val="-9"/>
          <w:sz w:val="28"/>
        </w:rPr>
        <w:t xml:space="preserve"> </w:t>
      </w:r>
      <w:r>
        <w:rPr>
          <w:rFonts w:ascii="黑体" w:hAnsi="黑体" w:hint="eastAsia"/>
          <w:sz w:val="28"/>
          <w:lang w:val="en-US" w:eastAsia="zh-CN"/>
        </w:rPr>
        <w:t>Daluo</w:t>
      </w:r>
      <w:r>
        <w:rPr>
          <w:rFonts w:ascii="黑体" w:hAnsi="黑体"/>
          <w:spacing w:val="-9"/>
          <w:sz w:val="28"/>
        </w:rPr>
        <w:t xml:space="preserve"> </w:t>
      </w:r>
      <w:r>
        <w:rPr>
          <w:rFonts w:ascii="黑体" w:hAnsi="黑体" w:hint="eastAsia"/>
          <w:sz w:val="28"/>
          <w:lang w:val="en-US" w:eastAsia="zh-CN"/>
        </w:rPr>
        <w:t>Day</w:t>
      </w:r>
      <w:r>
        <w:rPr>
          <w:rFonts w:ascii="黑体" w:hAnsi="黑体"/>
          <w:spacing w:val="-9"/>
          <w:sz w:val="28"/>
        </w:rPr>
        <w:t xml:space="preserve"> </w:t>
      </w:r>
      <w:r>
        <w:rPr>
          <w:rFonts w:ascii="黑体" w:hAnsi="黑体" w:hint="eastAsia"/>
          <w:spacing w:val="-2"/>
          <w:sz w:val="28"/>
          <w:lang w:val="en-US" w:eastAsia="zh-CN"/>
        </w:rPr>
        <w:t>Lily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66" w:right="0" w:firstLine="0"/>
        <w:jc w:val="center"/>
        <w:textAlignment w:val="auto"/>
        <w:rPr>
          <w:rFonts w:ascii="黑体" w:eastAsia="黑体"/>
          <w:spacing w:val="-3"/>
          <w:sz w:val="52"/>
          <w:lang w:val="en-US" w:eastAsia="zh-CN"/>
        </w:rPr>
      </w:pPr>
      <w:r>
        <w:rPr>
          <w:rFonts w:ascii="黑体" w:eastAsia="黑体" w:hint="eastAsia"/>
          <w:spacing w:val="-3"/>
          <w:sz w:val="52"/>
          <w:lang w:val="en-US" w:eastAsia="zh-CN"/>
        </w:rPr>
        <w:t>（征求意见稿）</w:t>
      </w: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pStyle w:val="17"/>
        <w:rPr>
          <w:rFonts w:ascii="黑体" w:hAnsi="黑体"/>
          <w:sz w:val="28"/>
        </w:rPr>
      </w:pPr>
    </w:p>
    <w:p>
      <w:pPr>
        <w:tabs>
          <w:tab w:val="left" w:pos="7654"/>
        </w:tabs>
        <w:spacing w:before="234"/>
        <w:ind w:left="295" w:right="0" w:firstLine="0"/>
        <w:jc w:val="center"/>
        <w:rPr>
          <w:rFonts w:ascii="黑体" w:eastAsia="黑体"/>
          <w:sz w:val="28"/>
        </w:rPr>
      </w:pPr>
      <w:r>
        <w:rPr>
          <w:rFonts w:ascii="黑体" w:eastAsia="黑体"/>
          <w:spacing w:val="-2"/>
          <w:sz w:val="28"/>
        </w:rPr>
        <w:t>2024</w:t>
      </w:r>
      <w:r>
        <w:rPr>
          <w:rFonts w:ascii="黑体" w:eastAsia="黑体"/>
          <w:spacing w:val="-65"/>
          <w:sz w:val="28"/>
        </w:rPr>
        <w:t xml:space="preserve"> </w:t>
      </w:r>
      <w:r>
        <w:rPr>
          <w:rFonts w:ascii="黑体" w:eastAsia="黑体"/>
          <w:spacing w:val="-2"/>
          <w:sz w:val="28"/>
        </w:rPr>
        <w:t>-</w:t>
      </w:r>
      <w:r>
        <w:rPr>
          <w:rFonts w:ascii="黑体" w:eastAsia="黑体"/>
          <w:spacing w:val="-70"/>
          <w:sz w:val="28"/>
        </w:rPr>
        <w:t xml:space="preserve"> </w:t>
      </w:r>
      <w:r>
        <w:rPr>
          <w:rFonts w:ascii="黑体" w:eastAsia="黑体" w:hint="eastAsia"/>
          <w:spacing w:val="-2"/>
          <w:sz w:val="28"/>
          <w:lang w:val="en-US" w:eastAsia="zh-CN"/>
        </w:rPr>
        <w:t>XX</w:t>
      </w:r>
      <w:r>
        <w:rPr>
          <w:rFonts w:ascii="黑体" w:eastAsia="黑体"/>
          <w:spacing w:val="-2"/>
          <w:sz w:val="28"/>
        </w:rPr>
        <w:t>-</w:t>
      </w:r>
      <w:r>
        <w:rPr>
          <w:rFonts w:ascii="黑体" w:eastAsia="黑体"/>
          <w:spacing w:val="-68"/>
          <w:sz w:val="28"/>
        </w:rPr>
        <w:t xml:space="preserve"> </w:t>
      </w:r>
      <w:r>
        <w:rPr>
          <w:rFonts w:ascii="黑体" w:eastAsia="黑体" w:hint="eastAsia"/>
          <w:spacing w:val="-2"/>
          <w:sz w:val="28"/>
          <w:lang w:val="en-US" w:eastAsia="zh-CN"/>
        </w:rPr>
        <w:t>XX</w:t>
      </w:r>
      <w:r>
        <w:rPr>
          <w:rFonts w:ascii="黑体" w:eastAsia="黑体"/>
          <w:spacing w:val="-67"/>
          <w:sz w:val="28"/>
        </w:rPr>
        <w:t xml:space="preserve"> </w:t>
      </w:r>
      <w:r>
        <w:rPr>
          <w:rFonts w:ascii="黑体" w:eastAsia="黑体"/>
          <w:spacing w:val="-2"/>
          <w:sz w:val="28"/>
        </w:rPr>
        <w:t>发</w:t>
      </w:r>
      <w:r>
        <w:rPr>
          <w:rFonts w:ascii="黑体" w:eastAsia="黑体"/>
          <w:spacing w:val="-10"/>
          <w:sz w:val="28"/>
        </w:rPr>
        <w:t>布</w:t>
      </w:r>
      <w:r>
        <w:rPr>
          <w:rFonts w:ascii="黑体" w:eastAsia="黑体"/>
          <w:sz w:val="28"/>
        </w:rPr>
        <w:tab/>
      </w:r>
      <w:r>
        <w:rPr>
          <w:rFonts w:ascii="黑体" w:eastAsia="黑体"/>
          <w:spacing w:val="-2"/>
          <w:sz w:val="28"/>
        </w:rPr>
        <w:t>2024</w:t>
      </w:r>
      <w:r>
        <w:rPr>
          <w:rFonts w:ascii="黑体" w:eastAsia="黑体"/>
          <w:spacing w:val="-70"/>
          <w:sz w:val="28"/>
        </w:rPr>
        <w:t xml:space="preserve"> </w:t>
      </w:r>
      <w:r>
        <w:rPr>
          <w:rFonts w:ascii="黑体" w:eastAsia="黑体"/>
          <w:spacing w:val="-2"/>
          <w:sz w:val="28"/>
        </w:rPr>
        <w:t>-</w:t>
      </w:r>
      <w:r>
        <w:rPr>
          <w:rFonts w:ascii="黑体" w:eastAsia="黑体"/>
          <w:spacing w:val="-68"/>
          <w:sz w:val="28"/>
        </w:rPr>
        <w:t xml:space="preserve"> </w:t>
      </w:r>
      <w:r>
        <w:rPr>
          <w:rFonts w:ascii="黑体" w:eastAsia="黑体" w:hint="eastAsia"/>
          <w:spacing w:val="-2"/>
          <w:sz w:val="28"/>
          <w:lang w:val="en-US" w:eastAsia="zh-CN"/>
        </w:rPr>
        <w:t>XX</w:t>
      </w:r>
      <w:r>
        <w:rPr>
          <w:rFonts w:ascii="黑体" w:eastAsia="黑体"/>
          <w:spacing w:val="-68"/>
          <w:sz w:val="28"/>
        </w:rPr>
        <w:t xml:space="preserve"> </w:t>
      </w:r>
      <w:r>
        <w:rPr>
          <w:rFonts w:ascii="黑体" w:eastAsia="黑体"/>
          <w:spacing w:val="-2"/>
          <w:sz w:val="28"/>
        </w:rPr>
        <w:t>-</w:t>
      </w:r>
      <w:r>
        <w:rPr>
          <w:rFonts w:ascii="黑体" w:eastAsia="黑体"/>
          <w:spacing w:val="-70"/>
          <w:sz w:val="28"/>
        </w:rPr>
        <w:t xml:space="preserve"> </w:t>
      </w:r>
      <w:r>
        <w:rPr>
          <w:rFonts w:ascii="黑体" w:eastAsia="黑体" w:hint="eastAsia"/>
          <w:spacing w:val="-2"/>
          <w:sz w:val="28"/>
          <w:lang w:val="en-US" w:eastAsia="zh-CN"/>
        </w:rPr>
        <w:t>XX</w:t>
      </w:r>
      <w:r>
        <w:rPr>
          <w:rFonts w:ascii="黑体" w:eastAsia="黑体"/>
          <w:spacing w:val="-2"/>
          <w:sz w:val="28"/>
        </w:rPr>
        <w:t>实</w:t>
      </w:r>
      <w:r>
        <w:rPr>
          <w:rFonts w:ascii="黑体" w:eastAsia="黑体"/>
          <w:spacing w:val="-10"/>
          <w:sz w:val="28"/>
        </w:rPr>
        <w:t>施</w:t>
      </w:r>
    </w:p>
    <w:p>
      <w:pPr>
        <w:pStyle w:val="17"/>
        <w:rPr>
          <w:rFonts w:ascii="黑体" w:hAnsi="黑体"/>
          <w:sz w:val="28"/>
        </w:rPr>
      </w:pPr>
      <w:r>
        <mc:AlternateContent>
          <mc:Choice Requires="wps">
            <w:drawing>
              <wp:anchor distT="0" distB="0" distL="114298" distR="114298" simplePos="0" relativeHeight="24" behindDoc="0" locked="0" layoutInCell="1" hidden="0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66040</wp:posOffset>
                </wp:positionV>
                <wp:extent cx="6120130" cy="10160"/>
                <wp:effectExtent l="0" t="0" r="0" b="0"/>
                <wp:wrapTopAndBottom/>
                <wp:docPr id="6" name="docshape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10160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2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21599" y="21667"/>
                              </a:moveTo>
                              <a:lnTo>
                                <a:pt x="0" y="20249"/>
                              </a:lnTo>
                              <a:lnTo>
                                <a:pt x="0" y="0"/>
                              </a:lnTo>
                              <a:lnTo>
                                <a:pt x="21599" y="1417"/>
                              </a:lnTo>
                              <a:lnTo>
                                <a:pt x="21599" y="21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100" id="docshape2 7" o:spid="_x0000_s7" fillcolor="#000000" stroked="f" style="position:absolute;margin-left:67.8pt;margin-top:5.2pt;width:481.9pt;height:0.8000003pt;z-index:24;mso-position-horizontal:absolute;mso-position-horizontal-relative:page;mso-position-vertical:absolute;mso-wrap-distance-left:8.999863pt;mso-wrap-distance-right:8.999863pt;">
                <v:stroke color="#000000"/>
                <w10:wrap type="topAndBottom"/>
              </v:shape>
            </w:pict>
          </mc:Fallback>
        </mc:AlternateContent>
      </w:r>
    </w:p>
    <w:p>
      <w:pPr>
        <w:tabs>
          <w:tab w:val="left" w:pos="3359"/>
        </w:tabs>
        <w:spacing w:before="1"/>
        <w:ind w:left="0" w:right="14" w:firstLine="0"/>
        <w:jc w:val="center"/>
        <w:rPr>
          <w:rFonts w:ascii="黑体" w:eastAsia="黑体"/>
          <w:sz w:val="28"/>
        </w:rPr>
      </w:pPr>
      <w:r>
        <w:rPr>
          <w:rFonts w:ascii="黑体" w:eastAsia="黑体"/>
          <w:spacing w:val="-2"/>
          <w:sz w:val="28"/>
        </w:rPr>
        <w:t>巴中市市场监督管理</w:t>
      </w:r>
      <w:r>
        <w:rPr>
          <w:rFonts w:ascii="黑体" w:eastAsia="黑体"/>
          <w:spacing w:val="-10"/>
          <w:sz w:val="28"/>
        </w:rPr>
        <w:t>局</w:t>
      </w:r>
      <w:r>
        <w:rPr>
          <w:rFonts w:ascii="黑体" w:eastAsia="黑体"/>
          <w:sz w:val="28"/>
        </w:rPr>
        <w:tab/>
        <w:t>发</w:t>
      </w:r>
      <w:r>
        <w:rPr>
          <w:rFonts w:ascii="黑体" w:eastAsia="黑体"/>
          <w:spacing w:val="30"/>
          <w:sz w:val="28"/>
        </w:rPr>
        <w:t xml:space="preserve"> </w:t>
      </w:r>
      <w:r>
        <w:rPr>
          <w:rFonts w:ascii="黑体" w:eastAsia="黑体"/>
          <w:spacing w:val="-10"/>
          <w:sz w:val="28"/>
        </w:rPr>
        <w:t>布</w:t>
      </w:r>
    </w:p>
    <w:p>
      <w:pPr>
        <w:spacing w:after="0"/>
        <w:jc w:val="center"/>
        <w:rPr>
          <w:rFonts w:ascii="黑体" w:eastAsia="黑体"/>
          <w:sz w:val="28"/>
        </w:rPr>
        <w:sectPr>
          <w:type w:val="continuous"/>
          <w:pgSz w:w="11910" w:h="16840"/>
          <w:pgMar w:top="480" w:right="720" w:bottom="280" w:left="1020" w:header="0" w:footer="0" w:gutter="0"/>
          <w:docGrid w:linePitch="312" w:charSpace="0"/>
        </w:sectPr>
      </w:pPr>
    </w:p>
    <w:p>
      <w:pPr>
        <w:pStyle w:val="17"/>
        <w:spacing w:before="7"/>
        <w:rPr>
          <w:rFonts w:ascii="黑体" w:hAnsi="黑体"/>
          <w:sz w:val="15"/>
        </w:rPr>
      </w:pPr>
    </w:p>
    <w:p>
      <w:pPr>
        <w:spacing w:after="0"/>
        <w:rPr>
          <w:rFonts w:ascii="黑体" w:hAnsi="黑体"/>
          <w:sz w:val="15"/>
        </w:rPr>
        <w:sectPr>
          <w:pgSz w:w="11910" w:h="16840"/>
          <w:pgMar w:top="1920" w:right="720" w:bottom="280" w:left="1020" w:header="0" w:footer="0" w:gutter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eastAsia="黑体" w:cs="黑体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</w:rPr>
        <w:t>目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 xml:space="preserve">  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eastAsia="方正仿宋_GBK" w:cs="Times New Roman" w:hAnsi="Times New Roman"/>
          <w:kern w:val="0"/>
          <w:sz w:val="21"/>
          <w:szCs w:val="21"/>
        </w:rPr>
      </w:pPr>
      <w:r>
        <w:rPr>
          <w:rFonts w:ascii="宋体" w:eastAsia="宋体" w:cs="宋体" w:hint="eastAsia"/>
          <w:kern w:val="0"/>
          <w:sz w:val="21"/>
          <w:szCs w:val="21"/>
        </w:rPr>
        <w:t>前言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.................................................……...........................................................................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</w:rPr>
        <w:t>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eastAsia="方正仿宋_GBK" w:cs="Times New Roman" w:hAnsi="Times New Roman"/>
          <w:kern w:val="0"/>
          <w:sz w:val="21"/>
          <w:szCs w:val="21"/>
        </w:rPr>
      </w:pPr>
      <w:r>
        <w:rPr>
          <w:rFonts w:ascii="Times New Roman" w:eastAsia="宋体" w:cs="Times New Roman" w:hAnsi="Times New Roman"/>
          <w:kern w:val="0"/>
          <w:sz w:val="21"/>
          <w:szCs w:val="21"/>
        </w:rPr>
        <w:t>1 范围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................................................................................................................................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eastAsia="方正仿宋_GBK" w:cs="Times New Roman" w:hAnsi="Times New Roman"/>
          <w:kern w:val="0"/>
          <w:sz w:val="21"/>
          <w:szCs w:val="21"/>
        </w:rPr>
      </w:pPr>
      <w:r>
        <w:rPr>
          <w:rFonts w:ascii="Times New Roman" w:eastAsia="宋体" w:cs="Times New Roman" w:hAnsi="Times New Roman"/>
          <w:kern w:val="0"/>
          <w:sz w:val="21"/>
          <w:szCs w:val="21"/>
        </w:rPr>
        <w:t>2 规范性引用文件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.........................……......................................</w:t>
      </w:r>
      <w:r>
        <w:rPr>
          <w:rFonts w:ascii="Times New Roman" w:eastAsia="方正仿宋_GBK" w:cs="Times New Roman" w:hAnsi="Times New Roman" w:hint="eastAsia"/>
          <w:kern w:val="0"/>
          <w:sz w:val="21"/>
          <w:szCs w:val="21"/>
          <w:lang w:val="en-US" w:eastAsia="zh-CN"/>
        </w:rPr>
        <w:t>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eastAsia="方正仿宋_GBK" w:cs="Times New Roman" w:hAnsi="Times New Roman"/>
          <w:kern w:val="0"/>
          <w:sz w:val="21"/>
          <w:szCs w:val="21"/>
        </w:rPr>
      </w:pPr>
      <w:r>
        <w:rPr>
          <w:rFonts w:ascii="Times New Roman" w:eastAsia="宋体" w:cs="Times New Roman" w:hAnsi="Times New Roman"/>
          <w:kern w:val="0"/>
          <w:sz w:val="21"/>
          <w:szCs w:val="21"/>
        </w:rPr>
        <w:t>3 术语和定义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............................……........…...................……........</w:t>
      </w:r>
      <w:r>
        <w:rPr>
          <w:rFonts w:ascii="Times New Roman" w:eastAsia="方正仿宋_GBK" w:cs="Times New Roman" w:hAnsi="Times New Roman" w:hint="eastAsia"/>
          <w:kern w:val="0"/>
          <w:sz w:val="21"/>
          <w:szCs w:val="21"/>
          <w:lang w:val="en-US" w:eastAsia="zh-CN"/>
        </w:rPr>
        <w:t>...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eastAsia="方正仿宋_GBK" w:cs="Times New Roman" w:hAnsi="Times New Roman"/>
          <w:kern w:val="0"/>
          <w:sz w:val="21"/>
          <w:szCs w:val="21"/>
        </w:rPr>
      </w:pPr>
      <w:r>
        <w:rPr>
          <w:rFonts w:ascii="Times New Roman" w:eastAsia="宋体" w:cs="Times New Roman" w:hAnsi="Times New Roman"/>
          <w:kern w:val="0"/>
          <w:sz w:val="21"/>
          <w:szCs w:val="21"/>
        </w:rPr>
        <w:t>4 产地环境条件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........................…….........................................................…....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eastAsia="方正仿宋_GBK" w:cs="Times New Roman" w:hAnsi="Times New Roman"/>
          <w:kern w:val="0"/>
          <w:sz w:val="21"/>
          <w:szCs w:val="21"/>
          <w:lang w:val="en-US"/>
        </w:rPr>
      </w:pPr>
      <w:r>
        <w:rPr>
          <w:rFonts w:ascii="Times New Roman" w:eastAsia="宋体" w:cs="Times New Roman" w:hAnsi="Times New Roman"/>
          <w:kern w:val="0"/>
          <w:sz w:val="21"/>
          <w:szCs w:val="21"/>
        </w:rPr>
        <w:t>5 栽培管理技术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...............................................................</w:t>
      </w:r>
      <w:r>
        <w:rPr>
          <w:rFonts w:ascii="Times New Roman" w:eastAsia="方正仿宋_GBK" w:cs="Times New Roman" w:hAnsi="Times New Roman" w:hint="eastAsia"/>
          <w:kern w:val="0"/>
          <w:sz w:val="21"/>
          <w:szCs w:val="21"/>
          <w:lang w:val="en-US" w:eastAsia="zh-CN"/>
        </w:rPr>
        <w:t>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....................................................1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eastAsia="方正仿宋_GBK" w:cs="Times New Roman" w:hAnsi="Times New Roman"/>
          <w:kern w:val="0"/>
          <w:sz w:val="21"/>
          <w:szCs w:val="21"/>
        </w:rPr>
      </w:pPr>
      <w:r>
        <w:rPr>
          <w:rFonts w:ascii="Times New Roman" w:eastAsia="宋体" w:cs="Times New Roman" w:hAnsi="Times New Roman"/>
          <w:kern w:val="0"/>
          <w:sz w:val="21"/>
          <w:szCs w:val="21"/>
        </w:rPr>
        <w:t>6 采收及加工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.................................……....…........................................................................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eastAsia="方正仿宋_GBK" w:cs="Times New Roman" w:hAnsi="Times New Roman"/>
          <w:kern w:val="0"/>
          <w:sz w:val="21"/>
          <w:szCs w:val="21"/>
          <w:lang w:val="en-US"/>
        </w:rPr>
      </w:pPr>
      <w:r>
        <w:rPr>
          <w:rFonts w:ascii="Times New Roman" w:eastAsia="宋体" w:cs="Times New Roman" w:hAnsi="Times New Roman"/>
          <w:kern w:val="0"/>
          <w:sz w:val="21"/>
          <w:szCs w:val="21"/>
        </w:rPr>
        <w:t>7 质量追溯管理</w:t>
      </w:r>
      <w:r>
        <w:rPr>
          <w:rFonts w:ascii="Times New Roman" w:eastAsia="宋体" w:cs="Times New Roman" w:hAnsi="Times New Roman"/>
          <w:kern w:val="0"/>
          <w:sz w:val="21"/>
          <w:szCs w:val="21"/>
          <w:lang w:val="en-US" w:eastAsia="zh-CN"/>
        </w:rPr>
        <w:t>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............................................…............….......................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新宋体" w:eastAsia="新宋体"/>
          <w:b/>
          <w:bCs/>
          <w:sz w:val="21"/>
          <w:szCs w:val="21"/>
          <w:lang w:val="en-US"/>
        </w:rPr>
      </w:pPr>
      <w:r>
        <w:rPr>
          <w:rFonts w:ascii="Times New Roman" w:eastAsia="宋体" w:cs="Times New Roman" w:hAnsi="Times New Roman"/>
          <w:kern w:val="0"/>
          <w:sz w:val="21"/>
          <w:szCs w:val="21"/>
        </w:rPr>
        <w:t>附录A</w:t>
      </w:r>
      <w:r>
        <w:rPr>
          <w:rFonts w:ascii="Times New Roman" w:eastAsia="宋体" w:cs="Times New Roman" w:hAnsi="Times New Roman" w:hint="eastAsia"/>
          <w:kern w:val="0"/>
          <w:sz w:val="21"/>
          <w:szCs w:val="21"/>
          <w:lang w:eastAsia="zh-CN"/>
        </w:rPr>
        <w:t>（</w:t>
      </w:r>
      <w:r>
        <w:rPr>
          <w:rFonts w:ascii="Times New Roman" w:eastAsia="宋体" w:cs="Times New Roman" w:hAnsi="Times New Roman" w:hint="eastAsia"/>
          <w:kern w:val="0"/>
          <w:sz w:val="21"/>
          <w:szCs w:val="21"/>
          <w:lang w:val="en-US" w:eastAsia="zh-CN"/>
        </w:rPr>
        <w:t>资料性</w:t>
      </w:r>
      <w:r>
        <w:rPr>
          <w:rFonts w:ascii="Times New Roman" w:eastAsia="宋体" w:cs="Times New Roman" w:hAnsi="Times New Roman" w:hint="eastAsia"/>
          <w:kern w:val="0"/>
          <w:sz w:val="21"/>
          <w:szCs w:val="21"/>
          <w:lang w:eastAsia="zh-CN"/>
        </w:rPr>
        <w:t>）</w:t>
      </w:r>
      <w:r>
        <w:rPr>
          <w:rFonts w:ascii="Times New Roman" w:eastAsia="宋体" w:cs="Times New Roman" w:hAnsi="Times New Roman" w:hint="eastAsia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kern w:val="0"/>
          <w:sz w:val="21"/>
          <w:szCs w:val="21"/>
        </w:rPr>
        <w:t>主要病虫害的防治及部分推荐农药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...................…......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…</w:t>
      </w:r>
      <w:r>
        <w:rPr>
          <w:rFonts w:ascii="Times New Roman" w:eastAsia="方正仿宋_GBK" w:cs="Times New Roman" w:hAnsi="Times New Roman"/>
          <w:kern w:val="0"/>
          <w:sz w:val="21"/>
          <w:szCs w:val="21"/>
          <w:lang w:val="en-US" w:eastAsia="zh-CN"/>
        </w:rPr>
        <w:t>........6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480" w:after="480"/>
        <w:ind w:left="0"/>
        <w:jc w:val="center"/>
      </w:pPr>
    </w:p>
    <w:p>
      <w:pPr>
        <w:rPr>
          <w:rFonts w:ascii="黑体" w:eastAsia="黑体"/>
          <w:bCs/>
          <w:spacing w:val="320"/>
          <w:kern w:val="0"/>
          <w:sz w:val="32"/>
          <w:szCs w:val="20"/>
        </w:rPr>
      </w:pPr>
      <w:r>
        <w:rPr>
          <w:rFonts w:ascii="黑体" w:eastAsia="黑体"/>
          <w:bCs/>
          <w:spacing w:val="320"/>
          <w:kern w:val="0"/>
          <w:sz w:val="32"/>
          <w:szCs w:val="20"/>
        </w:rPr>
        <w:br w:type="page"/>
      </w:r>
    </w:p>
    <w:p>
      <w:pPr>
        <w:jc w:val="center"/>
        <w:rPr>
          <w:rFonts w:ascii="黑体" w:eastAsia="黑体"/>
          <w:bCs/>
          <w:spacing w:val="320"/>
          <w:kern w:val="0"/>
          <w:sz w:val="32"/>
          <w:szCs w:val="20"/>
        </w:rPr>
      </w:pPr>
    </w:p>
    <w:p>
      <w:pPr>
        <w:jc w:val="center"/>
        <w:rPr>
          <w:rFonts w:ascii="黑体" w:eastAsia="黑体" w:hint="eastAsia"/>
          <w:bCs/>
          <w:spacing w:val="320"/>
          <w:kern w:val="0"/>
          <w:sz w:val="32"/>
          <w:szCs w:val="20"/>
        </w:rPr>
      </w:pPr>
      <w:r>
        <w:rPr>
          <w:rFonts w:ascii="黑体" w:eastAsia="黑体" w:hint="eastAsia"/>
          <w:bCs/>
          <w:spacing w:val="320"/>
          <w:kern w:val="0"/>
          <w:sz w:val="32"/>
          <w:szCs w:val="20"/>
        </w:rPr>
        <w:t>前</w:t>
      </w:r>
      <w:bookmarkStart w:id="0" w:name="BKQY"/>
      <w:r>
        <w:rPr>
          <w:rFonts w:ascii="黑体" w:eastAsia="黑体" w:hint="eastAsia"/>
          <w:bCs/>
          <w:spacing w:val="320"/>
          <w:kern w:val="0"/>
          <w:sz w:val="32"/>
          <w:szCs w:val="20"/>
        </w:rPr>
        <w:t>言</w:t>
      </w:r>
      <w:bookmarkEnd w:id="0"/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>
      <w:pPr>
        <w:pStyle w:val="27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eastAsia="宋体" w:cs="Times New Roman"/>
          <w:lang w:bidi="ar-SA"/>
        </w:rPr>
      </w:pPr>
      <w:r>
        <w:rPr>
          <w:rFonts w:eastAsia="宋体" w:cs="Times New Roman"/>
          <w:lang w:bidi="ar-SA"/>
        </w:rPr>
        <w:t>本文件由</w:t>
      </w:r>
      <w:r>
        <w:rPr>
          <w:rFonts w:eastAsia="宋体" w:cs="Times New Roman" w:hint="eastAsia"/>
          <w:lang w:eastAsia="zh-CN" w:bidi="ar-SA"/>
        </w:rPr>
        <w:t>巴中市巴州区农业农村局</w:t>
      </w:r>
      <w:r>
        <w:rPr>
          <w:rFonts w:eastAsia="宋体" w:cs="Times New Roman"/>
          <w:lang w:bidi="ar-SA"/>
        </w:rPr>
        <w:t>提出。</w:t>
      </w:r>
    </w:p>
    <w:p>
      <w:pPr>
        <w:pStyle w:val="27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本文件由巴中市</w:t>
      </w:r>
      <w:r>
        <w:rPr>
          <w:rFonts w:eastAsia="宋体" w:cs="Times New Roman" w:hint="eastAsia"/>
          <w:lang w:eastAsia="zh-CN" w:bidi="ar-SA"/>
        </w:rPr>
        <w:t>农业农村</w:t>
      </w:r>
      <w:r>
        <w:rPr>
          <w:rFonts w:hint="eastAsia"/>
        </w:rPr>
        <w:t>局归口。</w:t>
      </w:r>
    </w:p>
    <w:p>
      <w:pPr>
        <w:pStyle w:val="27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eastAsia="宋体" w:cs="Times New Roman" w:hint="eastAsia"/>
          <w:lang w:bidi="ar-SA"/>
        </w:rPr>
      </w:pPr>
      <w:r>
        <w:rPr>
          <w:rFonts w:eastAsia="宋体" w:cs="Times New Roman"/>
          <w:lang w:bidi="ar-SA"/>
        </w:rPr>
        <w:t>本文件起草单位：巴中市</w:t>
      </w:r>
      <w:r>
        <w:rPr>
          <w:rFonts w:eastAsia="宋体" w:cs="Times New Roman" w:hint="eastAsia"/>
          <w:lang w:bidi="ar-SA"/>
        </w:rPr>
        <w:t>巴州区</w:t>
      </w:r>
      <w:r>
        <w:rPr>
          <w:rFonts w:eastAsia="宋体" w:cs="Times New Roman" w:hint="eastAsia"/>
          <w:lang w:eastAsia="zh-CN" w:bidi="ar-SA"/>
        </w:rPr>
        <w:t>经济作物发展服务中心</w:t>
      </w:r>
      <w:r>
        <w:rPr>
          <w:rFonts w:eastAsia="宋体" w:cs="Times New Roman" w:hint="eastAsia"/>
          <w:lang w:bidi="ar-SA"/>
        </w:rPr>
        <w:t>。</w:t>
      </w:r>
    </w:p>
    <w:p>
      <w:pPr>
        <w:pStyle w:val="27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adjustRightInd/>
        <w:snapToGrid/>
        <w:spacing w:line="400" w:lineRule="exact"/>
        <w:jc w:val="left"/>
        <w:rPr>
          <w:rFonts w:hint="eastAsia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footerReference w:type="first" r:id="rId9"/>
          <w:pgSz w:w="11906" w:h="16838"/>
          <w:pgMar w:top="567" w:right="1134" w:bottom="1134" w:left="1418" w:header="1418" w:footer="1134" w:gutter="0"/>
          <w:pgNumType w:fmt="upperRoman" w:start="1"/>
          <w:formProt w:val="0"/>
          <w:docGrid w:type="lines" w:linePitch="312" w:charSpace="0"/>
        </w:sectPr>
      </w:pPr>
      <w:r>
        <w:rPr>
          <w:rFonts w:eastAsia="宋体" w:cs="Times New Roman"/>
          <w:lang w:bidi="ar-SA"/>
        </w:rPr>
        <w:t>本文件主要起草人：</w:t>
      </w:r>
      <w:r>
        <w:rPr>
          <w:rFonts w:eastAsia="宋体" w:cs="Times New Roman" w:hint="eastAsia"/>
          <w:lang w:bidi="ar-SA"/>
        </w:rPr>
        <w:t>陈林</w:t>
      </w:r>
      <w:r>
        <w:rPr>
          <w:rFonts w:eastAsia="宋体" w:cs="Times New Roman" w:hint="eastAsia"/>
          <w:lang w:eastAsia="zh-CN" w:bidi="ar-SA"/>
        </w:rPr>
        <w:t>、</w:t>
      </w:r>
      <w:r>
        <w:rPr>
          <w:rFonts w:eastAsia="宋体" w:cs="Times New Roman" w:hint="eastAsia"/>
          <w:lang w:bidi="ar-SA"/>
        </w:rPr>
        <w:t>章小平</w:t>
      </w:r>
      <w:r>
        <w:rPr>
          <w:rFonts w:eastAsia="宋体" w:cs="Times New Roman" w:hint="eastAsia"/>
          <w:lang w:eastAsia="zh-CN" w:bidi="ar-SA"/>
        </w:rPr>
        <w:t>、</w:t>
      </w:r>
      <w:r>
        <w:rPr>
          <w:rFonts w:eastAsia="宋体" w:cs="Times New Roman" w:hint="eastAsia"/>
          <w:lang w:bidi="ar-SA"/>
        </w:rPr>
        <w:t>谭琼</w:t>
      </w:r>
      <w:r>
        <w:rPr>
          <w:rFonts w:eastAsia="宋体" w:cs="Times New Roman" w:hint="eastAsia"/>
          <w:lang w:eastAsia="zh-CN" w:bidi="ar-SA"/>
        </w:rPr>
        <w:t>、</w:t>
      </w:r>
      <w:r>
        <w:rPr>
          <w:rFonts w:eastAsia="宋体" w:cs="Times New Roman" w:hint="eastAsia"/>
          <w:lang w:bidi="ar-SA"/>
        </w:rPr>
        <w:t>王海林</w:t>
      </w:r>
      <w:r>
        <w:rPr>
          <w:rFonts w:eastAsia="宋体" w:cs="Times New Roman" w:hint="eastAsia"/>
          <w:lang w:eastAsia="zh-CN" w:bidi="ar-SA"/>
        </w:rPr>
        <w:t>、陈睿明</w:t>
      </w:r>
      <w:r>
        <w:rPr>
          <w:rFonts w:eastAsia="宋体" w:cs="Times New Roman"/>
          <w:lang w:bidi="ar-SA"/>
        </w:rPr>
        <w:t>。</w:t>
      </w:r>
    </w:p>
    <w:p>
      <w:pPr>
        <w:spacing w:line="380" w:lineRule="exact"/>
        <w:rPr>
          <w:rFonts w:ascii="方正小标宋简体" w:eastAsia="方正小标宋简体" w:hint="eastAsia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CN"/>
        </w:rPr>
        <w:t>巴州区</w:t>
      </w:r>
      <w:r>
        <w:rPr>
          <w:rFonts w:ascii="黑体" w:eastAsia="黑体" w:hint="eastAsia"/>
          <w:sz w:val="32"/>
          <w:szCs w:val="32"/>
        </w:rPr>
        <w:t>大罗黄花生产技术规程</w:t>
      </w:r>
      <w:bookmarkStart w:id="1" w:name="_Toc401738334"/>
      <w:bookmarkStart w:id="2" w:name="_Toc401738364"/>
    </w:p>
    <w:p>
      <w:pPr>
        <w:pStyle w:val="15"/>
        <w:numPr>
          <w:ilvl w:val="0"/>
          <w:numId w:val="0"/>
        </w:numPr>
        <w:spacing w:before="312" w:after="312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1  范围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 w:firstLine="440"/>
        <w:textAlignment w:val="auto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本文件规定了大罗黄花的定义、产地环境条件、栽培管理技术、采收及加工。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5"/>
        <w:textAlignment w:val="auto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本文件适用于巴中市巴州区境内大罗黄花</w:t>
      </w:r>
      <w:r>
        <w:rPr>
          <w:rFonts w:ascii="宋体" w:hint="eastAsia"/>
          <w:kern w:val="0"/>
          <w:szCs w:val="20"/>
          <w:lang w:eastAsia="zh-CN"/>
        </w:rPr>
        <w:t>地理标志保护范围</w:t>
      </w:r>
      <w:r>
        <w:rPr>
          <w:rFonts w:ascii="宋体" w:hint="eastAsia"/>
          <w:kern w:val="0"/>
          <w:szCs w:val="20"/>
        </w:rPr>
        <w:t>的生产。</w:t>
      </w:r>
      <w:bookmarkStart w:id="3" w:name="_Toc401738335"/>
      <w:bookmarkStart w:id="4" w:name="_Toc401738365"/>
    </w:p>
    <w:p>
      <w:pPr>
        <w:pStyle w:val="15"/>
        <w:numPr>
          <w:ilvl w:val="0"/>
          <w:numId w:val="0"/>
        </w:numPr>
        <w:spacing w:before="312" w:after="312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2  规范性引用文件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 w:firstLine="440"/>
        <w:textAlignment w:val="auto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 w:firstLine="440"/>
        <w:textAlignment w:val="auto"/>
        <w:rPr>
          <w:rFonts w:ascii="宋体" w:cs="宋体" w:hint="eastAsia"/>
          <w:kern w:val="0"/>
          <w:szCs w:val="20"/>
          <w:lang w:val="en-US" w:eastAsia="zh-CN" w:bidi="ar-SA"/>
          <w:highlight w:val="auto"/>
        </w:rPr>
      </w:pPr>
      <w:r>
        <w:rPr>
          <w:rFonts w:ascii="宋体" w:cs="宋体" w:hint="eastAsia"/>
          <w:kern w:val="0"/>
          <w:szCs w:val="20"/>
          <w:lang w:val="en-US" w:eastAsia="zh-CN" w:bidi="ar-SA"/>
          <w:highlight w:val="auto"/>
        </w:rPr>
        <w:t>GB 5084  农田灌溉水质标准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 w:firstLine="440"/>
        <w:textAlignment w:val="auto"/>
        <w:rPr>
          <w:rFonts w:ascii="宋体" w:cs="宋体" w:hint="eastAsia"/>
          <w:kern w:val="0"/>
          <w:szCs w:val="20"/>
          <w:lang w:val="en-US" w:eastAsia="zh-CN" w:bidi="ar-SA"/>
          <w:highlight w:val="auto"/>
        </w:rPr>
      </w:pPr>
      <w:r>
        <w:rPr>
          <w:rFonts w:ascii="宋体" w:cs="宋体" w:hint="eastAsia"/>
          <w:kern w:val="0"/>
          <w:szCs w:val="20"/>
          <w:lang w:bidi="ar-SA"/>
          <w:highlight w:val="auto"/>
        </w:rPr>
        <w:t>GB/T 8321</w:t>
      </w:r>
      <w:r>
        <w:rPr>
          <w:rFonts w:ascii="宋体" w:cs="宋体" w:hint="eastAsia"/>
          <w:kern w:val="0"/>
          <w:szCs w:val="20"/>
          <w:lang w:val="en-US" w:eastAsia="zh-CN" w:bidi="ar-SA"/>
          <w:highlight w:val="auto"/>
        </w:rPr>
        <w:t>.1～</w:t>
      </w:r>
      <w:r>
        <w:rPr>
          <w:rFonts w:ascii="宋体" w:cs="宋体" w:hint="eastAsia"/>
          <w:kern w:val="0"/>
          <w:szCs w:val="20"/>
          <w:lang w:bidi="ar-SA"/>
          <w:highlight w:val="auto"/>
        </w:rPr>
        <w:t>8321</w:t>
      </w:r>
      <w:r>
        <w:rPr>
          <w:rFonts w:ascii="宋体" w:cs="宋体" w:hint="eastAsia"/>
          <w:kern w:val="0"/>
          <w:szCs w:val="20"/>
          <w:lang w:val="en-US" w:eastAsia="zh-CN" w:bidi="ar-SA"/>
          <w:highlight w:val="auto"/>
        </w:rPr>
        <w:t>.10  农药合理使用准则（一～十）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 w:firstLine="440"/>
        <w:textAlignment w:val="auto"/>
        <w:rPr>
          <w:rFonts w:ascii="宋体" w:cs="宋体" w:hint="eastAsia"/>
          <w:kern w:val="0"/>
          <w:szCs w:val="20"/>
          <w:lang w:val="en-US" w:eastAsia="zh-CN" w:bidi="ar-SA"/>
          <w:highlight w:val="auto"/>
        </w:rPr>
      </w:pPr>
      <w:r>
        <w:rPr>
          <w:rFonts w:ascii="宋体" w:cs="宋体" w:hint="eastAsia"/>
          <w:kern w:val="0"/>
          <w:szCs w:val="20"/>
          <w:lang w:bidi="ar-SA"/>
          <w:highlight w:val="auto"/>
        </w:rPr>
        <w:t>NY/T</w:t>
      </w:r>
      <w:r>
        <w:rPr>
          <w:rFonts w:ascii="宋体" w:cs="宋体" w:hint="eastAsia"/>
          <w:kern w:val="0"/>
          <w:szCs w:val="20"/>
          <w:lang w:val="en-US" w:eastAsia="zh-CN" w:bidi="ar-SA"/>
          <w:highlight w:val="auto"/>
        </w:rPr>
        <w:t xml:space="preserve">  496  肥料合理使用准则  通则</w:t>
      </w:r>
      <w:bookmarkStart w:id="5" w:name="_Toc401738366"/>
      <w:bookmarkStart w:id="6" w:name="_Toc4017383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 w:firstLine="440"/>
        <w:textAlignment w:val="auto"/>
        <w:rPr>
          <w:rFonts w:ascii="宋体" w:cs="宋体" w:hint="eastAsia"/>
          <w:kern w:val="0"/>
          <w:szCs w:val="20"/>
          <w:lang w:bidi="ar-SA"/>
          <w:highlight w:val="auto"/>
        </w:rPr>
      </w:pPr>
      <w:r>
        <w:rPr>
          <w:rFonts w:ascii="宋体" w:cs="宋体" w:hint="eastAsia"/>
          <w:kern w:val="0"/>
          <w:szCs w:val="20"/>
          <w:lang w:bidi="ar-SA"/>
          <w:highlight w:val="auto"/>
        </w:rPr>
        <w:t>NY/T 5010 </w:t>
      </w:r>
      <w:r>
        <w:rPr>
          <w:rFonts w:ascii="宋体" w:cs="宋体" w:hint="eastAsia"/>
          <w:kern w:val="0"/>
          <w:szCs w:val="20"/>
          <w:lang w:val="en-US" w:eastAsia="zh-CN" w:bidi="ar-SA"/>
          <w:highlight w:val="auto"/>
        </w:rPr>
        <w:t xml:space="preserve">  </w:t>
      </w:r>
      <w:r>
        <w:rPr>
          <w:rFonts w:ascii="宋体" w:cs="宋体" w:hint="eastAsia"/>
          <w:kern w:val="0"/>
          <w:szCs w:val="20"/>
          <w:lang w:bidi="ar-SA"/>
          <w:highlight w:val="auto"/>
        </w:rPr>
        <w:t>无公害农产品种植业产地环境条件</w:t>
      </w:r>
    </w:p>
    <w:p>
      <w:pPr>
        <w:pStyle w:val="15"/>
        <w:numPr>
          <w:ilvl w:val="0"/>
          <w:numId w:val="0"/>
        </w:numPr>
        <w:spacing w:before="312" w:after="312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3  术语和定义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150" w:firstLine="330"/>
        <w:textAlignment w:val="auto"/>
        <w:rPr>
          <w:rFonts w:ascii="宋体" w:hint="eastAsia"/>
          <w:szCs w:val="21"/>
        </w:rPr>
      </w:pPr>
      <w:r>
        <w:rPr>
          <w:rFonts w:ascii="宋体" w:hint="eastAsia"/>
          <w:kern w:val="0"/>
          <w:szCs w:val="20"/>
        </w:rPr>
        <w:t>下列术语和定义适用于本</w:t>
      </w:r>
      <w:r>
        <w:rPr>
          <w:rFonts w:ascii="宋体" w:hint="eastAsia"/>
          <w:kern w:val="0"/>
          <w:szCs w:val="20"/>
          <w:lang w:val="en-US" w:eastAsia="zh-CN"/>
        </w:rPr>
        <w:t>文件</w:t>
      </w:r>
      <w:r>
        <w:rPr>
          <w:rFonts w:ascii="宋体" w:hint="eastAsia"/>
          <w:kern w:val="0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int="eastAsia"/>
          <w:szCs w:val="21"/>
        </w:rPr>
      </w:pPr>
      <w:r>
        <w:rPr>
          <w:rFonts w:ascii="黑体" w:eastAsia="黑体" w:hint="eastAsia"/>
          <w:szCs w:val="21"/>
        </w:rPr>
        <w:t xml:space="preserve">3.1  大罗黄花 </w:t>
      </w:r>
      <w:r>
        <w:rPr>
          <w:rFonts w:ascii="宋体" w:hint="eastAsia"/>
          <w:szCs w:val="21"/>
        </w:rPr>
        <w:t xml:space="preserve"> Daluo Day Lily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150" w:firstLine="330"/>
        <w:textAlignment w:val="auto"/>
        <w:rPr>
          <w:rFonts w:hint="eastAsia"/>
        </w:rPr>
      </w:pPr>
      <w:r>
        <w:rPr>
          <w:rFonts w:ascii="宋体" w:hint="eastAsia"/>
          <w:kern w:val="0"/>
          <w:szCs w:val="20"/>
        </w:rPr>
        <w:t>在巴中市巴州区境内种植的，符合大罗黄花质量要求的鲜品或干制黄花产品。</w:t>
      </w:r>
      <w:bookmarkStart w:id="7" w:name="_Toc401738367"/>
      <w:bookmarkStart w:id="8" w:name="_Toc401738337"/>
    </w:p>
    <w:p>
      <w:pPr>
        <w:pStyle w:val="15"/>
        <w:numPr>
          <w:ilvl w:val="0"/>
          <w:numId w:val="0"/>
        </w:numPr>
        <w:spacing w:before="312" w:after="312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4  产地环境条件</w:t>
      </w:r>
      <w:bookmarkEnd w:id="7"/>
      <w:bookmarkEnd w:id="8"/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4.1  气候条件</w:t>
      </w:r>
    </w:p>
    <w:p>
      <w:pPr>
        <w:spacing w:line="440" w:lineRule="exact"/>
        <w:ind w:firstLineChars="150" w:firstLine="33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海拔400m～1000m，年日照时数1000h～1500h，年降水量1000mm～1200mm，无霜期大于250d。茎叶适合生长的温度14～20℃，抽薹开花需20～28℃的较适温度。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4.2  土壤条件</w:t>
      </w:r>
    </w:p>
    <w:p>
      <w:pPr>
        <w:spacing w:line="440" w:lineRule="exact"/>
        <w:ind w:firstLineChars="150" w:firstLine="330"/>
        <w:rPr>
          <w:rFonts w:ascii="宋体" w:hint="eastAsia"/>
          <w:kern w:val="0"/>
          <w:szCs w:val="20"/>
        </w:rPr>
      </w:pPr>
      <w:bookmarkStart w:id="9" w:name="_Toc401738338"/>
      <w:bookmarkStart w:id="10" w:name="_Toc401738368"/>
      <w:r>
        <w:rPr>
          <w:rFonts w:ascii="宋体" w:hint="eastAsia"/>
          <w:kern w:val="0"/>
          <w:szCs w:val="20"/>
        </w:rPr>
        <w:t>选择土层深厚、土质疏松、排灌良好、地下水位</w:t>
      </w:r>
      <w:r>
        <w:rPr>
          <w:rFonts w:ascii="宋体" w:hint="eastAsia"/>
          <w:kern w:val="0"/>
          <w:szCs w:val="20"/>
          <w:lang w:eastAsia="zh-CN"/>
        </w:rPr>
        <w:t>深</w:t>
      </w:r>
      <w:r>
        <w:rPr>
          <w:rFonts w:ascii="宋体" w:hint="eastAsia"/>
          <w:kern w:val="0"/>
          <w:szCs w:val="20"/>
        </w:rPr>
        <w:t>、肥沃的壤土为宜，pH6.5～8.5。不与百合科作物连作。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4.</w:t>
      </w:r>
      <w:r>
        <w:rPr>
          <w:rFonts w:ascii="黑体" w:eastAsia="黑体" w:hint="eastAsia"/>
          <w:szCs w:val="21"/>
          <w:lang w:val="en-US" w:eastAsia="zh-CN"/>
        </w:rPr>
        <w:t xml:space="preserve">3  </w:t>
      </w:r>
      <w:r>
        <w:rPr>
          <w:rFonts w:ascii="黑体" w:eastAsia="黑体" w:hint="eastAsia"/>
          <w:szCs w:val="21"/>
          <w:lang w:eastAsia="zh-CN"/>
        </w:rPr>
        <w:t>其他</w:t>
      </w:r>
      <w:r>
        <w:rPr>
          <w:rFonts w:ascii="黑体" w:eastAsia="黑体" w:hint="eastAsia"/>
          <w:szCs w:val="21"/>
        </w:rPr>
        <w:t>条件</w:t>
      </w:r>
    </w:p>
    <w:p>
      <w:pPr>
        <w:spacing w:line="440" w:lineRule="exact"/>
        <w:ind w:firstLineChars="200" w:firstLine="44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  <w:lang w:eastAsia="zh-CN"/>
        </w:rPr>
        <w:t>其他条件应符合</w:t>
      </w:r>
      <w:r>
        <w:rPr>
          <w:rFonts w:ascii="宋体" w:cs="宋体" w:hint="eastAsia"/>
          <w:kern w:val="0"/>
          <w:szCs w:val="20"/>
          <w:lang w:bidi="ar-SA"/>
          <w:highlight w:val="auto"/>
        </w:rPr>
        <w:t>NY/T 5010-2016</w:t>
      </w:r>
      <w:r>
        <w:rPr>
          <w:rFonts w:ascii="宋体" w:cs="宋体" w:hint="eastAsia"/>
          <w:kern w:val="0"/>
          <w:szCs w:val="20"/>
          <w:lang w:eastAsia="zh-CN" w:bidi="ar-SA"/>
          <w:highlight w:val="auto"/>
        </w:rPr>
        <w:t>的规定以及大罗黄花农产品地理标志产地环境条件标准</w:t>
      </w:r>
      <w:r>
        <w:rPr>
          <w:rFonts w:ascii="宋体" w:hint="eastAsia"/>
          <w:kern w:val="0"/>
          <w:szCs w:val="20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黑体" w:eastAsia="黑体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栽培管理技术</w:t>
      </w:r>
      <w:bookmarkEnd w:id="9"/>
      <w:bookmarkEnd w:id="10"/>
    </w:p>
    <w:p>
      <w:pPr>
        <w:spacing w:line="440" w:lineRule="exact"/>
        <w:ind w:firstLine="0"/>
        <w:rPr>
          <w:rFonts w:hint="eastAsia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5.1  品种选择</w:t>
      </w:r>
      <w:r>
        <w:rPr>
          <w:rFonts w:ascii="黑体" w:eastAsia="黑体" w:hint="eastAsia"/>
          <w:bCs/>
          <w:kern w:val="0"/>
          <w:szCs w:val="20"/>
          <w:lang w:eastAsia="zh-CN"/>
        </w:rPr>
        <w:tab/>
      </w:r>
    </w:p>
    <w:p>
      <w:pPr>
        <w:spacing w:line="440" w:lineRule="exact"/>
        <w:ind w:firstLineChars="200" w:firstLine="440"/>
        <w:rPr>
          <w:rFonts w:ascii="宋体" w:eastAsia="宋体" w:cs="Times New Roman" w:hint="eastAsia"/>
          <w:spacing w:val="-4"/>
          <w:szCs w:val="21"/>
          <w:lang w:bidi="ar-SA"/>
          <w:highlight w:val="auto"/>
        </w:rPr>
      </w:pPr>
      <w:r>
        <w:rPr>
          <w:rFonts w:ascii="宋体" w:cs="宋体" w:hint="eastAsia"/>
          <w:kern w:val="0"/>
          <w:szCs w:val="20"/>
          <w:lang w:bidi="ar-SA"/>
          <w:highlight w:val="auto"/>
        </w:rPr>
        <w:t>以本地良种大罗黄花为主。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  种苗繁育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5.2.1  分株繁殖</w:t>
      </w:r>
    </w:p>
    <w:p>
      <w:pPr>
        <w:spacing w:line="440" w:lineRule="exact"/>
        <w:ind w:firstLineChars="200" w:firstLine="44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选择栽植五年以上，生长势、花蕾性状、抗病性均较优良的植株，秋苗萌发前（8月中旬～10月中旬）或翌年春苗发芽前（2月中旬～3月上旬），挖取1/4～1/3的分蘖作为种苗。挖出的分蘖苗从短缩茎上割开，剪除老根与病根，也可将条状根适当剪短，即可定植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5.2.2  分芽繁殖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5.2.2.1  时间</w:t>
      </w:r>
    </w:p>
    <w:p>
      <w:pPr>
        <w:spacing w:line="440" w:lineRule="exact"/>
        <w:ind w:firstLineChars="200" w:firstLine="44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立春到清明节前（2月上旬～4月上旬）或立秋后（8月下旬～10月上旬）进行分芽育苗。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5.2.2.2  选地</w:t>
      </w:r>
    </w:p>
    <w:p>
      <w:pPr>
        <w:spacing w:line="440" w:lineRule="exact"/>
        <w:ind w:firstLineChars="200" w:firstLine="44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选择背风、向阳、肥沃、疏松、排水良好的壤土。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5.2.2.3  整地</w:t>
      </w:r>
    </w:p>
    <w:p>
      <w:pPr>
        <w:spacing w:line="440" w:lineRule="exact"/>
        <w:ind w:firstLineChars="200" w:firstLine="44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深耕20㎝左右，拣尽杂草，欠细整平，按100㎝～120㎝开厢，厢高20㎝，厢沟宽30㎝左右，土壤湿度以手捏成团，落地即散为宜。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5.2.2.4  分芽</w:t>
      </w:r>
    </w:p>
    <w:p>
      <w:pPr>
        <w:spacing w:line="440" w:lineRule="exact"/>
        <w:ind w:firstLineChars="200" w:firstLine="44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把生长健壮、符合黄花菜优良品种特征，种植五年以上的植株挖出,将每个肉质的根状茎切分成2～4瓣。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5.2.2.5  排栽</w:t>
      </w:r>
    </w:p>
    <w:p>
      <w:pPr>
        <w:spacing w:line="440" w:lineRule="exact"/>
        <w:ind w:firstLineChars="200" w:firstLine="44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按行距10㎝，株距5㎝～7㎝进行排栽，压实后浇足定根水，用细土盖过苗顶1㎝～1.5㎝。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5.2.2.6  栽后管理</w:t>
      </w:r>
    </w:p>
    <w:p>
      <w:pPr>
        <w:spacing w:line="440" w:lineRule="exact"/>
        <w:ind w:firstLineChars="200" w:firstLine="44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春季育苗要搭盖塑料小拱棚，保持棚内温度20℃左右，超过28℃时应揭开棚膜两端通风降温；保持土壤湿润，苗高6㎝～7㎝时每亩施粪水1000kg，苗高10㎝左右时每亩施粪水1000kg兑尿素2kg～3kg提苗，并揭膜炼苗。春季育苗秋季栽，秋季育苗春季栽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5.3  定植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5.3.1  时间</w:t>
      </w:r>
    </w:p>
    <w:p>
      <w:pPr>
        <w:spacing w:line="440" w:lineRule="exact"/>
        <w:rPr>
          <w:rFonts w:ascii="宋体" w:hint="eastAsia"/>
          <w:kern w:val="0"/>
          <w:szCs w:val="20"/>
        </w:rPr>
      </w:pP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kern w:val="0"/>
          <w:szCs w:val="20"/>
        </w:rPr>
        <w:t>分春栽和秋栽，春栽一般在2～3月，秋栽一般在8～11月。以秋植为宜。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5.3.2  整地</w:t>
      </w:r>
    </w:p>
    <w:p>
      <w:pPr>
        <w:adjustRightInd w:val="0"/>
        <w:spacing w:line="440" w:lineRule="exact"/>
        <w:ind w:firstLineChars="150" w:firstLine="33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栽植前10d，土壤深翻60cm以上，去除杂物。按计划栽植的行距整畦开沟，两畦之间的沟宽20～25 cm，深25～30 cm。开好围沟和主沟。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5.3.3  底肥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int="eastAsia"/>
          <w:kern w:val="0"/>
          <w:szCs w:val="20"/>
        </w:rPr>
      </w:pPr>
      <w:r>
        <w:rPr>
          <w:rFonts w:ascii="宋体" w:hint="eastAsia"/>
          <w:color w:val="FF00FF"/>
          <w:szCs w:val="21"/>
        </w:rPr>
        <w:t xml:space="preserve">   </w:t>
      </w:r>
      <w:r>
        <w:rPr>
          <w:rFonts w:ascii="宋体" w:hint="eastAsia"/>
          <w:kern w:val="0"/>
          <w:szCs w:val="20"/>
        </w:rPr>
        <w:t xml:space="preserve"> 栽植前，结合整地按行距开挖深20～40cm的定植沟，定植沟内每亩施腐熟厩肥2000～3000kg、</w:t>
      </w:r>
      <w:r>
        <w:rPr>
          <w:rFonts w:ascii="宋体" w:hint="eastAsia"/>
          <w:kern w:val="0"/>
          <w:szCs w:val="20"/>
          <w:lang w:eastAsia="zh-CN"/>
        </w:rPr>
        <w:t>适量高氮复合肥、有机肥、微量元素等</w:t>
      </w:r>
      <w:r>
        <w:rPr>
          <w:rFonts w:ascii="宋体" w:hint="eastAsia"/>
          <w:kern w:val="0"/>
          <w:szCs w:val="20"/>
        </w:rPr>
        <w:t>，然后填回原来表层熟土，整平后即可栽植。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5.3.4  栽植</w:t>
      </w:r>
    </w:p>
    <w:p>
      <w:pPr>
        <w:autoSpaceDE w:val="0"/>
        <w:autoSpaceDN w:val="0"/>
        <w:adjustRightInd w:val="0"/>
        <w:spacing w:line="440" w:lineRule="exact"/>
        <w:ind w:firstLineChars="150" w:firstLine="330"/>
        <w:jc w:val="lef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宽窄行栽植，宽行100cm，窄行66cm，穴距40cm～45cm，；等行距栽植，行距80cm，穴距40cm～45cm</w:t>
      </w:r>
      <w:r>
        <w:rPr>
          <w:rFonts w:ascii="宋体" w:hint="eastAsia"/>
          <w:kern w:val="0"/>
          <w:szCs w:val="20"/>
          <w:lang w:eastAsia="zh-CN"/>
        </w:rPr>
        <w:t>；</w:t>
      </w:r>
      <w:r>
        <w:rPr>
          <w:rFonts w:ascii="宋体" w:hint="eastAsia"/>
          <w:kern w:val="0"/>
          <w:szCs w:val="20"/>
        </w:rPr>
        <w:t>每亩栽植5000～7500株</w:t>
      </w:r>
      <w:r>
        <w:rPr>
          <w:rFonts w:ascii="宋体" w:hint="eastAsia"/>
          <w:kern w:val="0"/>
          <w:szCs w:val="20"/>
          <w:lang w:eastAsia="zh-CN"/>
        </w:rPr>
        <w:t>。</w:t>
      </w:r>
      <w:r>
        <w:rPr>
          <w:rFonts w:ascii="宋体" w:hint="eastAsia"/>
          <w:kern w:val="0"/>
          <w:szCs w:val="20"/>
          <w:lang w:eastAsia="zh-CN"/>
          <w:highlight w:val="auto"/>
        </w:rPr>
        <w:t>单行栽植，</w:t>
      </w:r>
      <w:r>
        <w:rPr>
          <w:rFonts w:ascii="宋体" w:hint="eastAsia"/>
          <w:kern w:val="0"/>
          <w:szCs w:val="20"/>
          <w:highlight w:val="auto"/>
        </w:rPr>
        <w:t>穴距40cm～45cm</w:t>
      </w:r>
      <w:r>
        <w:rPr>
          <w:rFonts w:ascii="宋体" w:hint="eastAsia"/>
          <w:kern w:val="0"/>
          <w:szCs w:val="20"/>
          <w:lang w:eastAsia="zh-CN"/>
          <w:highlight w:val="auto"/>
        </w:rPr>
        <w:t>，</w:t>
      </w:r>
      <w:r>
        <w:rPr>
          <w:rFonts w:ascii="宋体" w:hint="eastAsia"/>
          <w:kern w:val="0"/>
          <w:szCs w:val="20"/>
          <w:highlight w:val="auto"/>
        </w:rPr>
        <w:t>每穴3～4株苗。</w:t>
      </w:r>
      <w:r>
        <w:rPr>
          <w:rFonts w:ascii="宋体" w:hint="eastAsia"/>
          <w:kern w:val="0"/>
          <w:szCs w:val="20"/>
        </w:rPr>
        <w:t>深栽浅覆土，有利于分蘖，一般深度12～15 cm，达到根系深埋（短缩茎顶部栽入土中2～3cm），株头微露(种苗上部露出土表4～5cm)，栽后浇定根水。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5.4  田间管理</w:t>
      </w:r>
    </w:p>
    <w:p>
      <w:pPr>
        <w:autoSpaceDE w:val="0"/>
        <w:autoSpaceDN w:val="0"/>
        <w:adjustRightInd w:val="0"/>
        <w:spacing w:line="440" w:lineRule="exact"/>
        <w:ind w:firstLineChars="150" w:firstLine="330"/>
        <w:jc w:val="lef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肥料施用应符合</w:t>
      </w:r>
      <w:r>
        <w:rPr>
          <w:rFonts w:ascii="宋体" w:cs="宋体" w:hint="eastAsia"/>
          <w:kern w:val="0"/>
          <w:szCs w:val="20"/>
          <w:lang w:bidi="ar-SA"/>
          <w:highlight w:val="auto"/>
        </w:rPr>
        <w:t>NY/T</w:t>
      </w:r>
      <w:r>
        <w:rPr>
          <w:rFonts w:ascii="宋体" w:cs="宋体" w:hint="eastAsia"/>
          <w:kern w:val="0"/>
          <w:szCs w:val="20"/>
          <w:lang w:val="en-US" w:eastAsia="zh-CN" w:bidi="ar-SA"/>
          <w:highlight w:val="auto"/>
        </w:rPr>
        <w:t xml:space="preserve"> 496</w:t>
      </w:r>
      <w:r>
        <w:rPr>
          <w:rFonts w:ascii="宋体" w:cs="宋体" w:hint="eastAsia"/>
          <w:kern w:val="0"/>
          <w:szCs w:val="20"/>
          <w:lang w:bidi="ar-SA"/>
          <w:highlight w:val="auto"/>
        </w:rPr>
        <w:t>-</w:t>
      </w:r>
      <w:r>
        <w:rPr>
          <w:rFonts w:ascii="宋体" w:cs="宋体" w:hint="eastAsia"/>
          <w:kern w:val="0"/>
          <w:szCs w:val="20"/>
          <w:lang w:val="en-US" w:eastAsia="zh-CN" w:bidi="ar-SA"/>
          <w:highlight w:val="auto"/>
        </w:rPr>
        <w:t>2010</w:t>
      </w:r>
      <w:r>
        <w:rPr>
          <w:rFonts w:ascii="宋体" w:hint="eastAsia"/>
          <w:kern w:val="0"/>
          <w:szCs w:val="20"/>
          <w:highlight w:val="auto"/>
        </w:rPr>
        <w:t>的</w:t>
      </w:r>
      <w:r>
        <w:rPr>
          <w:rFonts w:ascii="宋体" w:hint="eastAsia"/>
          <w:kern w:val="0"/>
          <w:szCs w:val="20"/>
        </w:rPr>
        <w:t>规定。</w:t>
      </w:r>
    </w:p>
    <w:p>
      <w:pPr>
        <w:spacing w:line="440" w:lineRule="exact"/>
        <w:rPr>
          <w:rFonts w:ascii="宋体" w:hint="eastAsia"/>
          <w:szCs w:val="21"/>
        </w:rPr>
      </w:pPr>
      <w:r>
        <w:rPr>
          <w:rFonts w:ascii="黑体" w:eastAsia="黑体" w:hint="eastAsia"/>
          <w:szCs w:val="21"/>
        </w:rPr>
        <w:t>5.4.1  常规管理技术要求</w:t>
      </w:r>
      <w:r>
        <w:rPr>
          <w:rFonts w:ascii="宋体" w:hint="eastAsia"/>
          <w:szCs w:val="21"/>
        </w:rPr>
        <w:t xml:space="preserve">  </w:t>
      </w:r>
      <w:r>
        <w:rPr>
          <w:rFonts w:ascii="黑体" w:eastAsia="黑体" w:hint="eastAsia"/>
          <w:szCs w:val="21"/>
        </w:rPr>
        <w:t>见表1</w:t>
      </w:r>
    </w:p>
    <w:p>
      <w:pPr>
        <w:jc w:val="center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表1</w:t>
      </w:r>
      <w:r>
        <w:rPr>
          <w:rFonts w:ascii="黑体" w:eastAsia="黑体" w:hint="eastAsia"/>
          <w:szCs w:val="21"/>
        </w:rPr>
        <w:t>常规管理技术要求</w:t>
      </w:r>
    </w:p>
    <w:tbl>
      <w:tblPr>
        <w:jc w:val="left"/>
        <w:tblInd w:w="-214" w:type="dxa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2550"/>
        <w:gridCol w:w="3729"/>
      </w:tblGrid>
      <w:tr>
        <w:trPr>
          <w:trHeight w:val="476"/>
        </w:trP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时间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管理项目</w:t>
            </w:r>
          </w:p>
        </w:tc>
        <w:tc>
          <w:tcPr>
            <w:tcW w:w="372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技术指标</w:t>
            </w:r>
          </w:p>
        </w:tc>
      </w:tr>
      <w:tr>
        <w:trPr>
          <w:trHeight w:val="778"/>
        </w:trP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1月下旬至2月上旬</w:t>
            </w:r>
          </w:p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(开始萌芽）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除草、施肥</w:t>
            </w:r>
          </w:p>
        </w:tc>
        <w:tc>
          <w:tcPr>
            <w:tcW w:w="3729" w:type="dxa"/>
            <w:noWrap/>
            <w:vAlign w:val="center"/>
          </w:tcPr>
          <w:p>
            <w:pPr>
              <w:adjustRightInd w:val="0"/>
              <w:snapToGrid w:val="0"/>
              <w:ind w:firstLineChars="49" w:firstLine="108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施肥时间以见幼芽为准,每亩施过磷酸钙25㎏，尿素10㎏，腐熟人畜粪水1000～2000㎏。</w:t>
            </w:r>
          </w:p>
        </w:tc>
      </w:tr>
      <w:t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3月20日左右</w:t>
            </w:r>
          </w:p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(苗高15㎝左右，花苔未抽出前）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中耕、除草、施春苗肥</w:t>
            </w:r>
          </w:p>
        </w:tc>
        <w:tc>
          <w:tcPr>
            <w:tcW w:w="3729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中耕10～15㎝，除尽杂草，每亩施腐熟人畜粪2000㎏，尿素8～10㎏。</w:t>
            </w:r>
          </w:p>
        </w:tc>
      </w:tr>
      <w:t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5月下旬</w:t>
            </w:r>
          </w:p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(花苔抽出15～17㎝）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中耕、除草、施抽苔肥</w:t>
            </w:r>
          </w:p>
        </w:tc>
        <w:tc>
          <w:tcPr>
            <w:tcW w:w="372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中耕10～15㎝，除尽杂草，每亩施腐熟人畜粪1500㎏，尿素8～10㎏。</w:t>
            </w:r>
          </w:p>
        </w:tc>
      </w:tr>
      <w:tr>
        <w:trPr>
          <w:trHeight w:val="854"/>
        </w:trP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6月中旬</w:t>
            </w:r>
          </w:p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（花苔抽齐并长足够高，即80～120cm）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催蕾肥</w:t>
            </w:r>
          </w:p>
        </w:tc>
        <w:tc>
          <w:tcPr>
            <w:tcW w:w="372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int="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每亩喷施0.2%硼肥水溶液3～4 次</w:t>
            </w:r>
          </w:p>
        </w:tc>
      </w:tr>
      <w:tr>
        <w:trPr>
          <w:trHeight w:val="859"/>
        </w:trP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int="eastAsia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6月下旬—7月中旬</w:t>
            </w:r>
          </w:p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（采收中期）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施壮蕾、保蕾肥</w:t>
            </w:r>
          </w:p>
        </w:tc>
        <w:tc>
          <w:tcPr>
            <w:tcW w:w="3729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采花后，每亩用磷酸二氢钾500 倍液叶面喷施，隔10d1次，共喷2～3次</w:t>
            </w:r>
            <w:r>
              <w:rPr>
                <w:rFonts w:ascii="宋体" w:hint="eastAsia"/>
                <w:szCs w:val="21"/>
              </w:rPr>
              <w:t>。</w:t>
            </w:r>
          </w:p>
        </w:tc>
      </w:tr>
      <w:tr>
        <w:trPr>
          <w:trHeight w:val="663"/>
        </w:trP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7月底</w:t>
            </w:r>
          </w:p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（采收结束）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深翻炕土，割除老苗</w:t>
            </w:r>
          </w:p>
        </w:tc>
        <w:tc>
          <w:tcPr>
            <w:tcW w:w="372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行间深挖20～30㎝，挖成大块土，不伤根系和短缩茎，炕土10～20d后，将残有的老叶枯苔从地面以上3～6㎝处割除。</w:t>
            </w:r>
          </w:p>
        </w:tc>
      </w:tr>
      <w:t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8月下旬至9月中旬</w:t>
            </w:r>
          </w:p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（秋苗高15㎝左右）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保护秋苗，施肥复壮</w:t>
            </w:r>
          </w:p>
        </w:tc>
        <w:tc>
          <w:tcPr>
            <w:tcW w:w="372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每亩施尿素10㎏兑水灌窝。</w:t>
            </w:r>
          </w:p>
        </w:tc>
      </w:tr>
      <w:tr>
        <w:tc>
          <w:tcPr>
            <w:tcW w:w="34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10月下旬至11月上旬</w:t>
            </w:r>
          </w:p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（秋苗枯死）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培土培肥，保蔸过冬</w:t>
            </w:r>
          </w:p>
        </w:tc>
        <w:tc>
          <w:tcPr>
            <w:tcW w:w="372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kern w:val="0"/>
                <w:szCs w:val="20"/>
                <w:lang w:bidi="ar-SA"/>
              </w:rPr>
              <w:t>每亩用1000～1500㎏堆肥垒蔸（新扩种地可以不垒）。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 xml:space="preserve">5.4.2  </w:t>
      </w:r>
      <w:bookmarkStart w:id="11" w:name="_GoBack"/>
      <w:bookmarkEnd w:id="11"/>
      <w:r>
        <w:rPr>
          <w:rFonts w:ascii="黑体" w:eastAsia="黑体" w:hint="eastAsia"/>
          <w:szCs w:val="21"/>
        </w:rPr>
        <w:t>合理间作。</w:t>
      </w:r>
    </w:p>
    <w:p>
      <w:pPr>
        <w:autoSpaceDE w:val="0"/>
        <w:autoSpaceDN w:val="0"/>
        <w:adjustRightInd w:val="0"/>
        <w:spacing w:line="440" w:lineRule="exact"/>
        <w:ind w:firstLineChars="150" w:firstLine="330"/>
        <w:jc w:val="left"/>
        <w:rPr>
          <w:rFonts w:ascii="宋体" w:hint="eastAsia"/>
          <w:szCs w:val="21"/>
        </w:rPr>
      </w:pPr>
      <w:r>
        <w:rPr>
          <w:rFonts w:ascii="宋体" w:hint="eastAsia"/>
          <w:kern w:val="0"/>
          <w:szCs w:val="20"/>
        </w:rPr>
        <w:t>新栽黄花前二年，苗子小，产量低，可在大行间种一些低秆作物，如叶菜类、豆类、薯类等。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5.4.3  设施栽培</w:t>
      </w:r>
    </w:p>
    <w:p>
      <w:pPr>
        <w:autoSpaceDE w:val="0"/>
        <w:autoSpaceDN w:val="0"/>
        <w:adjustRightInd w:val="0"/>
        <w:spacing w:line="440" w:lineRule="exact"/>
        <w:ind w:firstLineChars="150" w:firstLine="330"/>
        <w:jc w:val="lef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黄花晾蔸后（即立春前后），用小拱覆盖，促进早发、多分孽、提前采收。气温稳定在17℃左右揭膜。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5.4.4  老苗复壮</w:t>
      </w:r>
    </w:p>
    <w:p>
      <w:pPr>
        <w:spacing w:line="440" w:lineRule="exact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 xml:space="preserve">  </w:t>
      </w:r>
      <w:r>
        <w:rPr>
          <w:rFonts w:ascii="宋体" w:hint="eastAsia"/>
          <w:kern w:val="0"/>
          <w:szCs w:val="20"/>
        </w:rPr>
        <w:t>栽植年限达15～20年的黄花，应在植株一侧连根挖掉1/2或1/3，让其另发新苗,或重新栽植。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宋体" w:hint="eastAsia"/>
          <w:szCs w:val="21"/>
        </w:rPr>
        <w:t xml:space="preserve"> </w:t>
      </w:r>
      <w:r>
        <w:rPr>
          <w:rFonts w:ascii="黑体" w:eastAsia="黑体" w:hint="eastAsia"/>
          <w:szCs w:val="21"/>
        </w:rPr>
        <w:t>5.5  病虫害防治</w:t>
      </w:r>
    </w:p>
    <w:p>
      <w:pPr>
        <w:pStyle w:val="29"/>
        <w:numPr>
          <w:ilvl w:val="0"/>
          <w:numId w:val="0"/>
        </w:numPr>
        <w:tabs>
          <w:tab w:val="left" w:pos="992"/>
          <w:tab w:val="left" w:pos="1571"/>
        </w:tabs>
        <w:spacing w:before="156" w:after="156" w:line="400" w:lineRule="exact"/>
        <w:ind w:left="0" w:firstLineChars="150" w:firstLine="315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  <w:lang w:eastAsia="zh-CN"/>
        </w:rPr>
        <w:t>贯彻</w:t>
      </w:r>
      <w:r>
        <w:rPr>
          <w:rFonts w:ascii="宋体" w:hAnsi="宋体" w:hint="eastAsia"/>
          <w:kern w:val="0"/>
          <w:szCs w:val="20"/>
        </w:rPr>
        <w:t>“预防为主，综合防治”的</w:t>
      </w:r>
      <w:r>
        <w:rPr>
          <w:rFonts w:ascii="宋体" w:hAnsi="宋体" w:hint="eastAsia"/>
          <w:kern w:val="0"/>
          <w:szCs w:val="20"/>
          <w:lang w:eastAsia="zh-CN"/>
        </w:rPr>
        <w:t>植保</w:t>
      </w:r>
      <w:r>
        <w:rPr>
          <w:rFonts w:ascii="宋体" w:hAnsi="宋体" w:hint="eastAsia"/>
          <w:kern w:val="0"/>
          <w:szCs w:val="20"/>
        </w:rPr>
        <w:t>方针，</w:t>
      </w:r>
      <w:r>
        <w:rPr>
          <w:rFonts w:ascii="宋体" w:hAnsi="宋体" w:hint="eastAsia"/>
          <w:kern w:val="0"/>
          <w:szCs w:val="20"/>
          <w:lang w:eastAsia="zh-CN"/>
        </w:rPr>
        <w:t>推广绿色防控技术</w:t>
      </w:r>
      <w:r>
        <w:rPr>
          <w:rFonts w:ascii="宋体" w:hAnsi="宋体" w:hint="eastAsia"/>
          <w:kern w:val="0"/>
          <w:szCs w:val="20"/>
        </w:rPr>
        <w:t>。优先采用农业防治、物理</w:t>
      </w:r>
      <w:r>
        <w:rPr>
          <w:rFonts w:ascii="宋体" w:hAnsi="宋体" w:hint="eastAsia"/>
          <w:kern w:val="0"/>
          <w:szCs w:val="20"/>
          <w:lang w:eastAsia="zh-CN"/>
        </w:rPr>
        <w:t>机械</w:t>
      </w:r>
      <w:r>
        <w:rPr>
          <w:rFonts w:ascii="宋体" w:hAnsi="宋体" w:hint="eastAsia"/>
          <w:kern w:val="0"/>
          <w:szCs w:val="20"/>
        </w:rPr>
        <w:t>防治和生物防治技术，</w:t>
      </w:r>
      <w:r>
        <w:rPr>
          <w:rFonts w:ascii="宋体" w:hAnsi="宋体" w:hint="eastAsia"/>
          <w:kern w:val="0"/>
          <w:szCs w:val="20"/>
          <w:lang w:eastAsia="zh-CN"/>
        </w:rPr>
        <w:t>重大病虫灾害发生时</w:t>
      </w:r>
      <w:r>
        <w:rPr>
          <w:rFonts w:ascii="宋体" w:hAnsi="宋体" w:hint="eastAsia"/>
          <w:kern w:val="0"/>
          <w:szCs w:val="20"/>
        </w:rPr>
        <w:t>配合使用化学防治技术。</w:t>
      </w:r>
    </w:p>
    <w:p>
      <w:pPr>
        <w:spacing w:line="440" w:lineRule="exact"/>
        <w:rPr>
          <w:rFonts w:ascii="黑体" w:eastAsia="黑体" w:hint="eastAsia"/>
          <w:color w:val="auto"/>
          <w:szCs w:val="21"/>
        </w:rPr>
      </w:pPr>
      <w:r>
        <w:rPr>
          <w:rFonts w:ascii="黑体" w:eastAsia="黑体" w:hint="eastAsia"/>
          <w:color w:val="auto"/>
          <w:szCs w:val="21"/>
        </w:rPr>
        <w:t>5.5.1  农业防治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int="eastAsia"/>
          <w:kern w:val="0"/>
          <w:szCs w:val="20"/>
        </w:rPr>
      </w:pPr>
      <w:r>
        <w:rPr>
          <w:rFonts w:ascii="宋体" w:hint="eastAsia"/>
          <w:color w:val="auto"/>
          <w:szCs w:val="21"/>
        </w:rPr>
        <w:t xml:space="preserve">  </w:t>
      </w:r>
      <w:r>
        <w:rPr>
          <w:rFonts w:ascii="宋体" w:hint="eastAsia"/>
          <w:kern w:val="0"/>
          <w:szCs w:val="20"/>
        </w:rPr>
        <w:t xml:space="preserve"> 选用抗病品种，采用健身栽培技术增强植株抗病虫害能力；及时更新老龄株丛, 保持壮龄当家；雨季到来以前尽早做好开沟排水，防止田间渍水；采收后，将田间及四周的杂草、落叶、病株全部收集烧毁，并每亩撒施生石灰35～50kg对土壤进行消毒处理。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color w:val="auto"/>
          <w:szCs w:val="21"/>
        </w:rPr>
      </w:pPr>
      <w:r>
        <w:rPr>
          <w:rFonts w:ascii="黑体" w:eastAsia="黑体" w:hint="eastAsia"/>
          <w:color w:val="auto"/>
          <w:szCs w:val="21"/>
        </w:rPr>
        <w:t>5.5.2  物理防治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大力推广人工捕杀</w:t>
      </w:r>
      <w:r>
        <w:rPr>
          <w:rFonts w:ascii="宋体" w:hint="eastAsia"/>
          <w:kern w:val="0"/>
          <w:szCs w:val="20"/>
          <w:lang w:eastAsia="zh-CN"/>
        </w:rPr>
        <w:t>、杀虫灯诱杀</w:t>
      </w:r>
      <w:r>
        <w:rPr>
          <w:rFonts w:ascii="宋体" w:hint="eastAsia"/>
          <w:kern w:val="0"/>
          <w:szCs w:val="20"/>
        </w:rPr>
        <w:t>、色板诱杀等措施捕杀害虫。</w:t>
      </w:r>
    </w:p>
    <w:p>
      <w:pPr>
        <w:spacing w:line="400" w:lineRule="exact"/>
        <w:rPr>
          <w:rFonts w:ascii="黑体" w:eastAsia="黑体" w:hint="eastAsia"/>
          <w:color w:val="auto"/>
          <w:szCs w:val="21"/>
        </w:rPr>
      </w:pPr>
      <w:r>
        <w:rPr>
          <w:rFonts w:ascii="黑体" w:eastAsia="黑体" w:hint="eastAsia"/>
          <w:color w:val="auto"/>
          <w:szCs w:val="21"/>
        </w:rPr>
        <w:t>5.5.3  生物防治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推广</w:t>
      </w:r>
      <w:r>
        <w:rPr>
          <w:rFonts w:hint="eastAsia"/>
          <w:color w:val="auto"/>
        </w:rPr>
        <w:t>使用</w:t>
      </w:r>
      <w:r>
        <w:rPr>
          <w:rFonts w:hint="eastAsia"/>
          <w:color w:val="auto"/>
          <w:lang w:eastAsia="zh-CN"/>
        </w:rPr>
        <w:t>天敌昆虫、生物农药</w:t>
      </w:r>
      <w:r>
        <w:rPr>
          <w:rFonts w:hint="eastAsia"/>
          <w:color w:val="auto"/>
        </w:rPr>
        <w:t>、微生</w:t>
      </w:r>
      <w:r>
        <w:rPr>
          <w:rFonts w:hint="eastAsia"/>
          <w:color w:val="auto"/>
          <w:lang w:eastAsia="zh-CN"/>
        </w:rPr>
        <w:t>农药防治病虫害</w:t>
      </w:r>
      <w:r>
        <w:rPr>
          <w:rFonts w:hint="eastAsia"/>
          <w:color w:val="auto"/>
        </w:rPr>
        <w:t>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color w:val="auto"/>
          <w:szCs w:val="21"/>
        </w:rPr>
      </w:pPr>
      <w:r>
        <w:rPr>
          <w:rFonts w:ascii="黑体" w:eastAsia="黑体" w:hint="eastAsia"/>
          <w:color w:val="auto"/>
          <w:szCs w:val="21"/>
        </w:rPr>
        <w:t>5.5.4  化学防治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  <w:lang w:eastAsia="zh-CN"/>
        </w:rPr>
        <w:t>化学</w:t>
      </w:r>
      <w:r>
        <w:rPr>
          <w:rFonts w:ascii="宋体" w:hint="eastAsia"/>
          <w:kern w:val="0"/>
          <w:szCs w:val="20"/>
        </w:rPr>
        <w:t>农药施用应符合GB/T 8321的规定。加强病虫</w:t>
      </w:r>
      <w:r>
        <w:rPr>
          <w:rFonts w:ascii="宋体" w:hint="eastAsia"/>
          <w:kern w:val="0"/>
          <w:szCs w:val="20"/>
          <w:lang w:eastAsia="zh-CN"/>
        </w:rPr>
        <w:t>监测预报，将病虫害控制在发生初期</w:t>
      </w:r>
      <w:r>
        <w:rPr>
          <w:rFonts w:ascii="宋体" w:hint="eastAsia"/>
          <w:kern w:val="0"/>
          <w:szCs w:val="20"/>
        </w:rPr>
        <w:t>；禁止施用国家禁限用农药</w:t>
      </w:r>
      <w:r>
        <w:rPr>
          <w:rFonts w:ascii="宋体" w:hint="eastAsia"/>
          <w:kern w:val="0"/>
          <w:szCs w:val="20"/>
          <w:lang w:eastAsia="zh-CN"/>
        </w:rPr>
        <w:t>，</w:t>
      </w:r>
      <w:r>
        <w:rPr>
          <w:rFonts w:ascii="宋体" w:hint="eastAsia"/>
          <w:kern w:val="0"/>
          <w:szCs w:val="20"/>
        </w:rPr>
        <w:t>选择高效、低毒、低残留的化学农药进行防治；合理交替施用化学农药</w:t>
      </w:r>
      <w:r>
        <w:rPr>
          <w:rFonts w:ascii="宋体" w:hint="eastAsia"/>
          <w:kern w:val="0"/>
          <w:szCs w:val="20"/>
          <w:lang w:eastAsia="zh-CN"/>
        </w:rPr>
        <w:t>，延缓病虫抗性</w:t>
      </w:r>
      <w:r>
        <w:rPr>
          <w:rFonts w:ascii="宋体" w:hint="eastAsia"/>
          <w:kern w:val="0"/>
          <w:szCs w:val="20"/>
        </w:rPr>
        <w:t>；</w:t>
      </w:r>
      <w:r>
        <w:rPr>
          <w:rFonts w:ascii="宋体" w:hint="eastAsia"/>
          <w:kern w:val="0"/>
          <w:szCs w:val="20"/>
          <w:lang w:eastAsia="zh-CN"/>
        </w:rPr>
        <w:t>严格遵守农</w:t>
      </w:r>
      <w:r>
        <w:rPr>
          <w:rFonts w:ascii="宋体" w:hint="eastAsia"/>
          <w:kern w:val="0"/>
          <w:szCs w:val="20"/>
        </w:rPr>
        <w:t>药安全间隔期</w:t>
      </w:r>
      <w:r>
        <w:rPr>
          <w:rFonts w:ascii="宋体" w:hint="eastAsia"/>
          <w:kern w:val="0"/>
          <w:szCs w:val="20"/>
          <w:lang w:eastAsia="zh-CN"/>
        </w:rPr>
        <w:t>规定</w:t>
      </w:r>
      <w:r>
        <w:rPr>
          <w:rFonts w:ascii="宋体" w:hint="eastAsia"/>
          <w:kern w:val="0"/>
          <w:szCs w:val="20"/>
        </w:rPr>
        <w:t>；</w:t>
      </w:r>
      <w:r>
        <w:rPr>
          <w:rFonts w:ascii="宋体" w:hint="eastAsia"/>
          <w:kern w:val="0"/>
          <w:szCs w:val="20"/>
          <w:highlight w:val="auto"/>
        </w:rPr>
        <w:t>采用</w:t>
      </w:r>
      <w:r>
        <w:rPr>
          <w:rFonts w:ascii="宋体" w:hint="eastAsia"/>
          <w:kern w:val="0"/>
          <w:szCs w:val="20"/>
          <w:lang w:eastAsia="zh-CN"/>
          <w:highlight w:val="auto"/>
        </w:rPr>
        <w:t>高效植保机械，推广超</w:t>
      </w:r>
      <w:r>
        <w:rPr>
          <w:rFonts w:ascii="宋体" w:hint="eastAsia"/>
          <w:kern w:val="0"/>
          <w:szCs w:val="20"/>
          <w:highlight w:val="auto"/>
        </w:rPr>
        <w:t>低容量喷雾</w:t>
      </w:r>
      <w:r>
        <w:rPr>
          <w:rFonts w:ascii="宋体" w:hint="eastAsia"/>
          <w:kern w:val="0"/>
          <w:szCs w:val="20"/>
          <w:lang w:eastAsia="zh-CN"/>
          <w:highlight w:val="auto"/>
        </w:rPr>
        <w:t>，</w:t>
      </w:r>
      <w:r>
        <w:rPr>
          <w:rFonts w:ascii="宋体" w:hint="eastAsia"/>
          <w:kern w:val="0"/>
          <w:szCs w:val="20"/>
          <w:lang w:eastAsia="zh-CN"/>
        </w:rPr>
        <w:t>减少</w:t>
      </w:r>
      <w:r>
        <w:rPr>
          <w:rFonts w:ascii="宋体" w:hint="eastAsia"/>
          <w:kern w:val="0"/>
          <w:szCs w:val="20"/>
        </w:rPr>
        <w:t>化学农药用量</w:t>
      </w:r>
      <w:r>
        <w:rPr>
          <w:rFonts w:ascii="宋体" w:hint="eastAsia"/>
          <w:kern w:val="0"/>
          <w:szCs w:val="20"/>
          <w:lang w:eastAsia="zh-CN"/>
        </w:rPr>
        <w:t>，提高防治效果</w:t>
      </w:r>
      <w:r>
        <w:rPr>
          <w:rFonts w:ascii="宋体" w:hint="eastAsia"/>
          <w:kern w:val="0"/>
          <w:szCs w:val="20"/>
          <w:highlight w:val="auto"/>
        </w:rPr>
        <w:t>。主要病虫害化学防治及部分推荐农药参见附录A。</w:t>
      </w:r>
      <w:bookmarkStart w:id="12" w:name="_Toc401738339"/>
      <w:bookmarkStart w:id="13" w:name="_Toc401738369"/>
    </w:p>
    <w:p>
      <w:pPr>
        <w:pStyle w:val="15"/>
        <w:numPr>
          <w:ilvl w:val="0"/>
          <w:numId w:val="0"/>
        </w:numPr>
        <w:spacing w:before="312" w:after="312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6  采收及加工</w:t>
      </w:r>
      <w:bookmarkEnd w:id="12"/>
      <w:bookmarkEnd w:id="13"/>
    </w:p>
    <w:p>
      <w:pPr>
        <w:pStyle w:val="18"/>
        <w:numPr>
          <w:ilvl w:val="0"/>
          <w:numId w:val="0"/>
        </w:numPr>
        <w:spacing w:before="156" w:after="156"/>
        <w:ind w:left="0" w:firstLine="0"/>
        <w:rPr>
          <w:rFonts w:ascii="黑体" w:eastAsia="黑体" w:hint="eastAsia"/>
          <w:kern w:val="0"/>
          <w:szCs w:val="20"/>
        </w:rPr>
      </w:pPr>
      <w:r>
        <w:rPr>
          <w:rFonts w:ascii="黑体" w:eastAsia="黑体" w:hint="eastAsia"/>
          <w:kern w:val="0"/>
          <w:szCs w:val="20"/>
        </w:rPr>
        <w:t>6.1  采收</w:t>
      </w:r>
    </w:p>
    <w:p>
      <w:pPr>
        <w:pStyle w:val="18"/>
        <w:numPr>
          <w:ilvl w:val="0"/>
          <w:numId w:val="0"/>
        </w:numPr>
        <w:spacing w:before="156" w:after="156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kern w:val="0"/>
          <w:szCs w:val="20"/>
        </w:rPr>
        <w:t>6.1.1  时间</w:t>
      </w:r>
    </w:p>
    <w:p>
      <w:pPr>
        <w:pStyle w:val="18"/>
        <w:numPr>
          <w:ilvl w:val="0"/>
          <w:numId w:val="0"/>
        </w:numPr>
        <w:spacing w:before="156" w:after="156"/>
        <w:ind w:left="0" w:firstLineChars="200" w:firstLine="440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一般在每年6月上旬～7月下旬，在开花前4～</w:t>
      </w:r>
      <w:r>
        <w:rPr>
          <w:rFonts w:ascii="宋体" w:hint="eastAsia"/>
          <w:kern w:val="0"/>
          <w:szCs w:val="20"/>
          <w:lang w:val="en-US"/>
        </w:rPr>
        <w:t>8</w:t>
      </w:r>
      <w:r>
        <w:rPr>
          <w:rFonts w:ascii="宋体" w:hint="eastAsia"/>
          <w:kern w:val="0"/>
          <w:szCs w:val="20"/>
        </w:rPr>
        <w:t>h采摘。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6.1.2  采摘标准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szCs w:val="21"/>
        </w:rPr>
      </w:pPr>
      <w:r>
        <w:rPr>
          <w:rFonts w:ascii="宋体" w:hint="eastAsia"/>
          <w:kern w:val="0"/>
          <w:szCs w:val="20"/>
        </w:rPr>
        <w:t>黄花花蕾发育到8cm～12cm，花蕾顶部呈黄褐色，中部呈青褐色时采摘。</w:t>
      </w:r>
    </w:p>
    <w:p>
      <w:pPr>
        <w:spacing w:line="440" w:lineRule="exac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6.1.3  采摘方法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一手扶住花葶，一手用拇指、食指和中指掐住花蕾基部，轻轻朝下掰压摘下。注意不要带梗，切忌乱扯强拉，攀断花枝，撞落花蕾。采摘下的花蕾避免曝晒，以防花蕾断裂和提前开放。采下的花蕾必须尽快加工晒干，否则鲜蕾裂嘴开放，影响商品产量和品质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6.2  加工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 xml:space="preserve">6.2.1  杀青  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  <w:lang w:eastAsia="zh-CN"/>
        </w:rPr>
        <w:t>采用蒸汽杀青</w:t>
      </w:r>
      <w:r>
        <w:rPr>
          <w:rFonts w:ascii="宋体" w:hint="eastAsia"/>
          <w:kern w:val="0"/>
          <w:szCs w:val="20"/>
        </w:rPr>
        <w:t>，至花瓣微软取出后摊凉</w:t>
      </w:r>
      <w:r>
        <w:rPr>
          <w:rFonts w:ascii="宋体" w:hint="eastAsia"/>
          <w:kern w:val="0"/>
          <w:szCs w:val="20"/>
          <w:lang w:eastAsia="zh-CN"/>
        </w:rPr>
        <w:t>；</w:t>
      </w:r>
      <w:r>
        <w:rPr>
          <w:rFonts w:ascii="宋体" w:hint="eastAsia"/>
          <w:kern w:val="0"/>
          <w:szCs w:val="20"/>
        </w:rPr>
        <w:t>或用烘房直接杀青，温度在80～100℃时，把黄花置于烘房1.5～2h至花瓣微软，取出后摊凉。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 xml:space="preserve">6.2.2  干制  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在通风干燥处晾晒或室内烘干。严禁用硫磺熏制。</w:t>
      </w:r>
    </w:p>
    <w:p>
      <w:pPr>
        <w:pStyle w:val="15"/>
        <w:numPr>
          <w:ilvl w:val="0"/>
          <w:numId w:val="0"/>
        </w:numPr>
        <w:spacing w:before="312" w:after="312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7.质量</w:t>
      </w:r>
      <w:r>
        <w:rPr>
          <w:rFonts w:ascii="黑体" w:eastAsia="黑体" w:hint="eastAsia"/>
          <w:bCs/>
          <w:kern w:val="0"/>
          <w:szCs w:val="20"/>
          <w:lang w:eastAsia="zh-CN"/>
        </w:rPr>
        <w:t>追溯</w:t>
      </w:r>
      <w:r>
        <w:rPr>
          <w:rFonts w:ascii="黑体" w:eastAsia="黑体" w:hint="eastAsia"/>
          <w:bCs/>
          <w:kern w:val="0"/>
          <w:szCs w:val="20"/>
        </w:rPr>
        <w:t>理</w:t>
      </w:r>
    </w:p>
    <w:p>
      <w:pPr>
        <w:pStyle w:val="18"/>
        <w:numPr>
          <w:ilvl w:val="0"/>
          <w:numId w:val="0"/>
        </w:numPr>
        <w:spacing w:before="156" w:after="156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7.1  建立投入品管</w:t>
      </w:r>
      <w:r>
        <w:rPr>
          <w:rFonts w:ascii="黑体" w:eastAsia="黑体" w:hint="eastAsia"/>
          <w:kern w:val="0"/>
          <w:szCs w:val="20"/>
        </w:rPr>
        <w:t>理制度在生产过程中所需的肥料、农药、</w:t>
      </w:r>
      <w:r>
        <w:rPr>
          <w:rFonts w:ascii="黑体" w:eastAsia="黑体" w:hint="eastAsia"/>
          <w:kern w:val="0"/>
          <w:szCs w:val="20"/>
          <w:lang w:eastAsia="zh-CN"/>
        </w:rPr>
        <w:t>农膜等投入品</w:t>
      </w:r>
      <w:r>
        <w:rPr>
          <w:rFonts w:ascii="黑体" w:eastAsia="黑体" w:hint="eastAsia"/>
          <w:kern w:val="0"/>
          <w:szCs w:val="20"/>
        </w:rPr>
        <w:t>在农产品监督管理部门监督下，应建立入出库登记管理制度，记录档案保存期为3年。</w:t>
      </w:r>
    </w:p>
    <w:p>
      <w:pPr>
        <w:pStyle w:val="18"/>
        <w:numPr>
          <w:ilvl w:val="0"/>
          <w:numId w:val="0"/>
        </w:numPr>
        <w:spacing w:before="156" w:after="156"/>
        <w:ind w:left="0" w:firstLine="0"/>
        <w:rPr>
          <w:rFonts w:ascii="黑体" w:eastAsia="黑体" w:hint="eastAsia"/>
          <w:bCs/>
          <w:kern w:val="0"/>
          <w:szCs w:val="20"/>
        </w:rPr>
      </w:pPr>
      <w:r>
        <w:rPr>
          <w:rFonts w:ascii="黑体" w:eastAsia="黑体" w:hint="eastAsia"/>
          <w:bCs/>
          <w:kern w:val="0"/>
          <w:szCs w:val="20"/>
        </w:rPr>
        <w:t>7.2  建立</w:t>
      </w:r>
      <w:r>
        <w:rPr>
          <w:rFonts w:ascii="黑体" w:eastAsia="黑体" w:hint="eastAsia"/>
          <w:bCs/>
          <w:kern w:val="0"/>
          <w:szCs w:val="20"/>
          <w:lang w:eastAsia="zh-CN"/>
        </w:rPr>
        <w:t>农事操作</w:t>
      </w:r>
      <w:r>
        <w:rPr>
          <w:rFonts w:ascii="黑体" w:eastAsia="黑体" w:hint="eastAsia"/>
          <w:bCs/>
          <w:kern w:val="0"/>
          <w:szCs w:val="20"/>
        </w:rPr>
        <w:t>档案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  <w:r>
        <w:rPr>
          <w:rFonts w:ascii="宋体" w:hint="eastAsia"/>
          <w:kern w:val="0"/>
          <w:szCs w:val="20"/>
        </w:rPr>
        <w:t>在生产过程中建立生产档案，将种植时间，施肥和施药时间、种类、数量、次数，除草时间、次数，黄花采摘时间、产量等如实记录清楚，记录档案保存期为3年。</w:t>
      </w: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  <w:sectPr>
          <w:headerReference w:type="default" r:id="rId10"/>
          <w:headerReference w:type="even" r:id="rId11"/>
          <w:footerReference w:type="default" r:id="rId12"/>
          <w:footerReference w:type="even" r:id="rId13"/>
          <w:footerReference w:type="first" r:id="rId14"/>
          <w:pgSz w:w="11906" w:h="16838"/>
          <w:pgMar w:top="567" w:right="1134" w:bottom="1134" w:left="1418" w:header="1418" w:footer="1134" w:gutter="0"/>
          <w:pgNumType w:start="1"/>
          <w:formProt w:val="0"/>
          <w:titlePg/>
          <w:docGrid w:type="lines" w:linePitch="312" w:charSpace="0"/>
        </w:sectPr>
      </w:pPr>
    </w:p>
    <w:p>
      <w:pPr>
        <w:pStyle w:val="3"/>
        <w:spacing w:before="0" w:after="0" w:line="360" w:lineRule="auto"/>
        <w:jc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附</w:t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>录</w:t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>A</w:t>
      </w:r>
    </w:p>
    <w:p>
      <w:pPr>
        <w:spacing w:line="340" w:lineRule="exact"/>
        <w:jc w:val="center"/>
        <w:rPr>
          <w:rFonts w:ascii="新宋体" w:eastAsia="新宋体" w:hint="eastAsia"/>
          <w:b/>
          <w:bCs/>
          <w:szCs w:val="21"/>
        </w:rPr>
      </w:pPr>
      <w:r>
        <w:rPr>
          <w:rFonts w:ascii="新宋体" w:eastAsia="新宋体" w:hint="eastAsia"/>
          <w:b/>
          <w:bCs/>
          <w:szCs w:val="21"/>
        </w:rPr>
        <w:t>（资料性）</w:t>
      </w:r>
    </w:p>
    <w:p>
      <w:pPr>
        <w:spacing w:line="340" w:lineRule="exact"/>
        <w:ind w:firstLineChars="200" w:firstLine="440"/>
        <w:jc w:val="center"/>
        <w:rPr>
          <w:rFonts w:ascii="新宋体" w:eastAsia="新宋体" w:hint="eastAsia"/>
          <w:b/>
          <w:bCs/>
          <w:szCs w:val="21"/>
        </w:rPr>
      </w:pPr>
      <w:r>
        <w:rPr>
          <w:rFonts w:ascii="新宋体" w:eastAsia="新宋体" w:hint="eastAsia"/>
          <w:b/>
          <w:bCs/>
          <w:szCs w:val="21"/>
        </w:rPr>
        <w:t>主要病虫害的防治及部分推荐农药</w:t>
      </w:r>
    </w:p>
    <w:p>
      <w:pPr>
        <w:spacing w:line="340" w:lineRule="exact"/>
        <w:ind w:firstLineChars="200" w:firstLine="440"/>
        <w:jc w:val="center"/>
        <w:rPr>
          <w:rFonts w:ascii="新宋体" w:eastAsia="新宋体" w:hint="eastAsia"/>
          <w:szCs w:val="21"/>
        </w:rPr>
      </w:pPr>
    </w:p>
    <w:tbl>
      <w:tblPr>
        <w:jc w:val="left"/>
        <w:tblInd w:w="-432" w:type="dxa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4860"/>
        <w:gridCol w:w="1440"/>
      </w:tblGrid>
      <w:tr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病虫害名称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防治适期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推荐药剂及浓度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安全间隔期（d）</w:t>
            </w:r>
          </w:p>
        </w:tc>
      </w:tr>
      <w:tr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叶斑病、叶枯病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3 月中下旬至4月初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亩用10</w:t>
            </w:r>
            <w:r>
              <w:rPr>
                <w:rFonts w:ascii="宋体" w:hint="eastAsia"/>
                <w:kern w:val="0"/>
                <w:szCs w:val="20"/>
              </w:rPr>
              <w:t>%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苯醚甲环唑水分散粒剂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50</w:t>
            </w:r>
            <w:r>
              <w:rPr>
                <w:rFonts w:ascii="宋体" w:hint="eastAsia"/>
                <w:kern w:val="0"/>
                <w:szCs w:val="20"/>
              </w:rPr>
              <w:t>g或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70</w:t>
            </w:r>
            <w:r>
              <w:rPr>
                <w:rFonts w:ascii="宋体" w:hint="eastAsia"/>
                <w:kern w:val="0"/>
                <w:szCs w:val="20"/>
              </w:rPr>
              <w:t>%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甲基硫菌灵</w:t>
            </w:r>
            <w:r>
              <w:rPr>
                <w:rFonts w:ascii="宋体" w:hint="eastAsia"/>
                <w:kern w:val="0"/>
                <w:szCs w:val="20"/>
              </w:rPr>
              <w:t>可湿性粉剂50g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喷雾。</w:t>
            </w:r>
            <w:r>
              <w:rPr>
                <w:rFonts w:ascii="宋体" w:hint="eastAsia"/>
                <w:kern w:val="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≥10</w:t>
            </w:r>
          </w:p>
        </w:tc>
      </w:tr>
      <w:tr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锈病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3月下旬至4月中旬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val="en-US"/>
              </w:rPr>
            </w:pP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亩用75%</w:t>
            </w:r>
            <w:r>
              <w:rPr>
                <w:rFonts w:ascii="宋体" w:hint="eastAsia"/>
                <w:kern w:val="0"/>
                <w:szCs w:val="20"/>
              </w:rPr>
              <w:t>肟菌·戊唑醇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水分散粒剂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20g或25%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丙环唑乳油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30ml喷雾。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val="en-US" w:eastAsia="zh-CN"/>
              </w:rPr>
            </w:pPr>
            <w:r>
              <w:rPr>
                <w:rFonts w:ascii="宋体" w:hint="eastAsia"/>
                <w:kern w:val="0"/>
                <w:szCs w:val="20"/>
              </w:rPr>
              <w:t>≥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28</w:t>
            </w:r>
          </w:p>
        </w:tc>
      </w:tr>
      <w:tr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白绢病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6月中、下旬至7月中旬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val="en-US" w:eastAsia="zh-CN"/>
              </w:rPr>
            </w:pP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亩用18%</w:t>
            </w:r>
            <w:r>
              <w:rPr>
                <w:rFonts w:ascii="宋体" w:hint="eastAsia"/>
                <w:kern w:val="0"/>
                <w:szCs w:val="20"/>
              </w:rPr>
              <w:t>噻呋·嘧苷素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悬浮剂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50ml或43</w:t>
            </w:r>
            <w:r>
              <w:rPr>
                <w:rFonts w:ascii="宋体" w:hint="eastAsia"/>
                <w:kern w:val="0"/>
                <w:szCs w:val="20"/>
              </w:rPr>
              <w:t>%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腐霉利悬浮剂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90ml喷雾。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val="en-US" w:eastAsia="zh-CN"/>
              </w:rPr>
            </w:pPr>
            <w:r>
              <w:rPr>
                <w:rFonts w:ascii="宋体" w:hint="eastAsia"/>
                <w:kern w:val="0"/>
                <w:szCs w:val="20"/>
              </w:rPr>
              <w:t>≥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14</w:t>
            </w:r>
          </w:p>
        </w:tc>
      </w:tr>
      <w:tr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红蜘蛛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4月中旬至5月中旬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  <w:lang w:eastAsia="zh-CN"/>
              </w:rPr>
              <w:t>亩用</w:t>
            </w:r>
            <w:r>
              <w:rPr>
                <w:rFonts w:ascii="宋体" w:hint="eastAsia"/>
                <w:kern w:val="0"/>
                <w:szCs w:val="20"/>
              </w:rPr>
              <w:t>20%甲氰菊酯乳油50mL或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5</w:t>
            </w:r>
            <w:r>
              <w:rPr>
                <w:rFonts w:ascii="宋体" w:hint="eastAsia"/>
                <w:kern w:val="0"/>
                <w:szCs w:val="20"/>
              </w:rPr>
              <w:t>%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阿维菌素</w:t>
            </w:r>
            <w:r>
              <w:rPr>
                <w:rFonts w:ascii="宋体" w:hint="eastAsia"/>
                <w:kern w:val="0"/>
                <w:szCs w:val="20"/>
              </w:rPr>
              <w:t>乳油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2</w:t>
            </w:r>
            <w:r>
              <w:rPr>
                <w:rFonts w:ascii="宋体" w:hint="eastAsia"/>
                <w:kern w:val="0"/>
                <w:szCs w:val="20"/>
              </w:rPr>
              <w:t>0mL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喷雾。</w:t>
            </w:r>
            <w:r>
              <w:rPr>
                <w:rFonts w:ascii="宋体" w:hint="eastAsia"/>
                <w:kern w:val="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val="en-US" w:eastAsia="zh-CN"/>
              </w:rPr>
            </w:pPr>
            <w:r>
              <w:rPr>
                <w:rFonts w:ascii="宋体" w:hint="eastAsia"/>
                <w:kern w:val="0"/>
                <w:szCs w:val="20"/>
              </w:rPr>
              <w:t>≥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14</w:t>
            </w:r>
          </w:p>
        </w:tc>
      </w:tr>
      <w:tr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蚜虫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3上旬至3月下旬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val="en-US" w:eastAsia="zh-CN"/>
              </w:rPr>
            </w:pPr>
            <w:r>
              <w:rPr>
                <w:rFonts w:ascii="宋体" w:hint="eastAsia"/>
                <w:kern w:val="0"/>
                <w:szCs w:val="20"/>
                <w:lang w:eastAsia="zh-CN"/>
              </w:rPr>
              <w:t>亩用</w:t>
            </w:r>
            <w:r>
              <w:rPr>
                <w:rFonts w:ascii="宋体" w:hint="eastAsia"/>
                <w:kern w:val="0"/>
                <w:szCs w:val="20"/>
              </w:rPr>
              <w:t>3%啶虫脒乳油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50g</w:t>
            </w:r>
            <w:r>
              <w:rPr>
                <w:rFonts w:ascii="宋体" w:hint="eastAsia"/>
                <w:kern w:val="0"/>
                <w:szCs w:val="20"/>
              </w:rPr>
              <w:t>或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70%</w:t>
            </w:r>
            <w:r>
              <w:rPr>
                <w:rFonts w:ascii="宋体" w:hint="eastAsia"/>
                <w:kern w:val="0"/>
                <w:szCs w:val="20"/>
              </w:rPr>
              <w:t>吡虫啉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水分散粒剂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1-2g喷雾。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eastAsia="zh-CN"/>
              </w:rPr>
            </w:pPr>
            <w:r>
              <w:rPr>
                <w:rFonts w:ascii="宋体" w:hint="eastAsia"/>
                <w:kern w:val="0"/>
                <w:szCs w:val="20"/>
              </w:rPr>
              <w:t>≥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5</w:t>
            </w:r>
          </w:p>
        </w:tc>
      </w:tr>
      <w:tr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地下害虫(地老虎、蛴螬、蝼蛄等)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3中旬－4月上旬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val="en-US" w:eastAsia="zh-CN"/>
              </w:rPr>
            </w:pPr>
            <w:r>
              <w:rPr>
                <w:rFonts w:ascii="宋体" w:hint="eastAsia"/>
                <w:kern w:val="0"/>
                <w:szCs w:val="20"/>
                <w:lang w:eastAsia="zh-CN"/>
              </w:rPr>
              <w:t>亩用</w:t>
            </w:r>
            <w:r>
              <w:rPr>
                <w:rFonts w:ascii="宋体" w:hint="eastAsia"/>
                <w:kern w:val="0"/>
                <w:szCs w:val="20"/>
              </w:rPr>
              <w:t>90%敌百虫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原药</w:t>
            </w:r>
            <w:r>
              <w:rPr>
                <w:rFonts w:ascii="宋体" w:hint="eastAsia"/>
                <w:kern w:val="0"/>
                <w:szCs w:val="20"/>
              </w:rPr>
              <w:t>100g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喷雾</w:t>
            </w:r>
            <w:r>
              <w:rPr>
                <w:rFonts w:ascii="宋体" w:hint="eastAsia"/>
                <w:kern w:val="0"/>
                <w:szCs w:val="20"/>
              </w:rPr>
              <w:t>或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亩</w:t>
            </w:r>
            <w:r>
              <w:rPr>
                <w:rFonts w:ascii="宋体" w:hint="eastAsia"/>
                <w:kern w:val="0"/>
                <w:szCs w:val="20"/>
              </w:rPr>
              <w:t>用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3</w:t>
            </w:r>
            <w:r>
              <w:rPr>
                <w:rFonts w:ascii="宋体" w:hint="eastAsia"/>
                <w:kern w:val="0"/>
                <w:szCs w:val="20"/>
              </w:rPr>
              <w:t>%辛硫磷</w:t>
            </w:r>
            <w:r>
              <w:rPr>
                <w:rFonts w:ascii="宋体" w:hint="eastAsia"/>
                <w:kern w:val="0"/>
                <w:szCs w:val="20"/>
                <w:lang w:eastAsia="zh-CN"/>
              </w:rPr>
              <w:t>颗粒剂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1-2kg土壤处理。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int="eastAsia"/>
                <w:kern w:val="0"/>
                <w:szCs w:val="20"/>
                <w:lang w:val="en-US" w:eastAsia="zh-CN"/>
              </w:rPr>
            </w:pPr>
            <w:r>
              <w:rPr>
                <w:rFonts w:ascii="宋体" w:hint="eastAsia"/>
                <w:kern w:val="0"/>
                <w:szCs w:val="20"/>
              </w:rPr>
              <w:t>≥</w:t>
            </w:r>
            <w:r>
              <w:rPr>
                <w:rFonts w:ascii="宋体" w:hint="eastAsia"/>
                <w:kern w:val="0"/>
                <w:szCs w:val="20"/>
                <w:lang w:val="en-US" w:eastAsia="zh-CN"/>
              </w:rPr>
              <w:t>20</w:t>
            </w:r>
          </w:p>
        </w:tc>
      </w:tr>
    </w:tbl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rPr>
          <w:rFonts w:ascii="宋体" w:hint="eastAsia"/>
          <w:kern w:val="0"/>
          <w:szCs w:val="20"/>
        </w:rPr>
      </w:pPr>
    </w:p>
    <w:p>
      <w:pPr>
        <w:pStyle w:val="27"/>
        <w:tabs>
          <w:tab w:val="center" w:pos="4201"/>
          <w:tab w:val="right" w:leader="dot" w:pos="9298"/>
        </w:tabs>
        <w:spacing w:line="400" w:lineRule="exact"/>
        <w:jc w:val="center"/>
        <w:rPr>
          <w:rFonts w:hint="eastAsia"/>
          <w:kern w:val="0"/>
          <w:sz w:val="24"/>
          <w:szCs w:val="24"/>
        </w:rPr>
      </w:pPr>
      <w:bookmarkStart w:id="14" w:name="BookMark8"/>
      <w:r>
        <w:rPr>
          <w:rFonts w:hint="eastAsia"/>
        </w:rPr>
        <w:drawing>
          <wp:inline distT="0" distB="0" distL="0" distR="0">
            <wp:extent cx="1485900" cy="316865"/>
            <wp:effectExtent l="0" t="0" r="23" b="27"/>
            <wp:docPr id="11" name="图片 9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3" name="图片 9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00" cy="31686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End w:id="14"/>
    </w:p>
    <w:sectPr>
      <w:headerReference w:type="default" r:id="rId15"/>
      <w:footerReference w:type="default" r:id="rId16"/>
      <w:pgSz w:w="11910" w:h="16840"/>
      <w:pgMar w:top="1640" w:right="720" w:bottom="1340" w:left="1020" w:header="1417" w:footer="1134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variable"/>
    <w:sig w:usb0="00000203" w:usb1="288F0000" w:usb2="00000006" w:usb3="00000000" w:csb0="00040001" w:csb1="00000000"/>
  </w:font>
  <w:font w:name="方正小标宋简体">
    <w:altName w:val="宋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spacing w:line="14" w:lineRule="auto"/>
      <w:rPr>
        <w:sz w:val="2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</w:pPr>
    <w:r>
      <w:t>Ⅰ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ind w:left="0" w:rightChars="0" w:right="360" w:firstLineChars="100" w:firstLine="180"/>
      <w:jc w:val="left"/>
    </w:pPr>
    <w:r>
      <w:t>Ⅱ</w: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</w:pPr>
    <w:r>
      <w:t>Ⅰ</w: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ind w:rightChars="0" w:right="360" w:firstLine="360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ind w:rightChars="0" w:right="360" w:firstLine="360"/>
      <w:jc w:val="lef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rPr>
        <w:sz w:val="20"/>
      </w:rPr>
    </w:pPr>
    <w:r>
      <w:rPr>
        <w:sz w:val="20"/>
      </w:rPr>
      <w:t>6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jc w:val="righ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 </w:t>
    </w:r>
    <w:r>
      <w:rPr>
        <w:rFonts w:ascii="黑体" w:eastAsia="黑体" w:cs="黑体" w:hint="eastAsia"/>
        <w:sz w:val="21"/>
        <w:szCs w:val="21"/>
      </w:rPr>
      <w:t>DB 5119/T</w:t>
    </w:r>
    <w:r>
      <w:rPr>
        <w:rFonts w:ascii="黑体" w:eastAsia="黑体" w:cs="黑体" w:hint="eastAsia"/>
        <w:sz w:val="21"/>
        <w:szCs w:val="21"/>
        <w:lang w:val="en-US" w:eastAsia="zh-CN"/>
      </w:rPr>
      <w:t xml:space="preserve"> 00</w:t>
    </w:r>
    <w:r>
      <w:rPr>
        <w:rFonts w:ascii="黑体" w:eastAsia="黑体" w:cs="黑体" w:hint="eastAsia"/>
        <w:sz w:val="21"/>
        <w:szCs w:val="21"/>
      </w:rPr>
      <w:t>-20</w:t>
    </w:r>
    <w:r>
      <w:rPr>
        <w:rFonts w:ascii="黑体" w:eastAsia="黑体" w:cs="黑体" w:hint="eastAsia"/>
        <w:sz w:val="21"/>
        <w:szCs w:val="21"/>
        <w:lang w:val="en-US" w:eastAsia="zh-CN"/>
      </w:rPr>
      <w:t>24</w: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jc w:val="righ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 </w:t>
    </w:r>
    <w:r>
      <w:rPr>
        <w:rFonts w:ascii="黑体" w:eastAsia="黑体" w:cs="黑体" w:hint="eastAsia"/>
        <w:sz w:val="21"/>
        <w:szCs w:val="21"/>
      </w:rPr>
      <w:t>DB 5119/T</w:t>
    </w:r>
    <w:r>
      <w:rPr>
        <w:rFonts w:ascii="黑体" w:eastAsia="黑体" w:cs="黑体" w:hint="eastAsia"/>
        <w:sz w:val="21"/>
        <w:szCs w:val="21"/>
        <w:lang w:val="en-US" w:eastAsia="zh-CN"/>
      </w:rPr>
      <w:t xml:space="preserve"> 00</w:t>
    </w:r>
    <w:r>
      <w:rPr>
        <w:rFonts w:ascii="黑体" w:eastAsia="黑体" w:cs="黑体" w:hint="eastAsia"/>
        <w:sz w:val="21"/>
        <w:szCs w:val="21"/>
      </w:rPr>
      <w:t>-20</w:t>
    </w:r>
    <w:r>
      <w:rPr>
        <w:rFonts w:ascii="黑体" w:eastAsia="黑体" w:cs="黑体" w:hint="eastAsia"/>
        <w:sz w:val="21"/>
        <w:szCs w:val="21"/>
        <w:lang w:val="en-US" w:eastAsia="zh-CN"/>
      </w:rPr>
      <w:t>24</w:t>
    </w: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 </w:t>
    </w:r>
    <w:r>
      <w:rPr>
        <w:rFonts w:ascii="黑体" w:eastAsia="黑体" w:cs="黑体" w:hint="eastAsia"/>
        <w:sz w:val="21"/>
        <w:szCs w:val="21"/>
      </w:rPr>
      <w:t>DB 5119/T</w:t>
    </w:r>
    <w:r>
      <w:rPr>
        <w:rFonts w:ascii="黑体" w:eastAsia="黑体" w:cs="黑体" w:hint="eastAsia"/>
        <w:sz w:val="21"/>
        <w:szCs w:val="21"/>
        <w:lang w:val="en-US" w:eastAsia="zh-CN"/>
      </w:rPr>
      <w:t xml:space="preserve"> 00</w:t>
    </w:r>
    <w:r>
      <w:rPr>
        <w:rFonts w:ascii="黑体" w:eastAsia="黑体" w:cs="黑体" w:hint="eastAsia"/>
        <w:sz w:val="21"/>
        <w:szCs w:val="21"/>
      </w:rPr>
      <w:t>-20</w:t>
    </w:r>
    <w:r>
      <w:rPr>
        <w:rFonts w:ascii="黑体" w:eastAsia="黑体" w:cs="黑体" w:hint="eastAsia"/>
        <w:sz w:val="21"/>
        <w:szCs w:val="21"/>
        <w:lang w:val="en-US" w:eastAsia="zh-CN"/>
      </w:rPr>
      <w:t>24</w:t>
    </w:r>
  </w:p>
</w:hdr>
</file>

<file path=word/header4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keepNext w:val="0"/>
      <w:keepLines w:val="0"/>
      <w:pageBreakBefore w:val="0"/>
      <w:widowControl w:val="0"/>
      <w:pBdr>
        <w:bottom w:val="none" w:sz="0" w:space="0" w:color="auto"/>
      </w:pBdr>
      <w:kinsoku/>
      <w:wordWrap/>
      <w:overflowPunct/>
      <w:topLinePunct w:val="0"/>
      <w:autoSpaceDE w:val="0"/>
      <w:autoSpaceDN w:val="0"/>
      <w:bidi w:val="0"/>
      <w:adjustRightInd/>
      <w:snapToGrid w:val="0"/>
      <w:ind w:firstLine="0"/>
      <w:jc w:val="right"/>
      <w:textAlignment w:val="auto"/>
      <w:rPr>
        <w:rFonts w:ascii="黑体" w:eastAsia="黑体" w:cs="黑体"/>
        <w:sz w:val="21"/>
        <w:szCs w:val="21"/>
        <w:lang w:val="en-US" w:eastAsia="zh-CN"/>
      </w:rPr>
    </w:pPr>
    <w:r>
      <w:rPr>
        <w:rFonts w:ascii="黑体" w:eastAsia="黑体" w:cs="黑体" w:hint="eastAsia"/>
        <w:sz w:val="21"/>
        <w:szCs w:val="21"/>
        <w:lang w:val="en-US" w:eastAsia="zh-CN"/>
      </w:rPr>
      <w:t xml:space="preserve"> DB 5119/T 00-2024                                               </w:t>
    </w:r>
  </w:p>
</w:hdr>
</file>

<file path=word/header5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keepNext w:val="0"/>
      <w:keepLines w:val="0"/>
      <w:pageBreakBefore w:val="0"/>
      <w:widowControl w:val="0"/>
      <w:pBdr>
        <w:bottom w:val="none" w:sz="0" w:space="0" w:color="auto"/>
      </w:pBdr>
      <w:kinsoku/>
      <w:wordWrap/>
      <w:overflowPunct/>
      <w:topLinePunct w:val="0"/>
      <w:autoSpaceDE w:val="0"/>
      <w:autoSpaceDN w:val="0"/>
      <w:bidi w:val="0"/>
      <w:adjustRightInd/>
      <w:snapToGrid w:val="0"/>
      <w:ind w:firstLine="0"/>
      <w:textAlignment w:val="auto"/>
      <w:rPr>
        <w:rFonts w:ascii="黑体" w:eastAsia="黑体" w:cs="黑体"/>
        <w:sz w:val="21"/>
        <w:szCs w:val="21"/>
        <w:lang w:val="en-US" w:eastAsia="zh-CN"/>
      </w:rPr>
    </w:pPr>
    <w:r>
      <w:rPr>
        <w:rFonts w:ascii="黑体" w:eastAsia="黑体" w:cs="黑体" w:hint="eastAsia"/>
        <w:sz w:val="21"/>
        <w:szCs w:val="21"/>
        <w:lang w:val="en-US" w:eastAsia="zh-CN"/>
      </w:rPr>
      <w:t xml:space="preserve"> DB 5119/T 00-2024                                               </w:t>
    </w:r>
  </w:p>
</w:hdr>
</file>

<file path=word/header6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auto"/>
      <w:textAlignment w:val="auto"/>
      <w:rPr>
        <w:sz w:val="20"/>
      </w:rPr>
    </w:pPr>
    <w:r>
      <w:rPr>
        <w:rFonts w:ascii="黑体" w:eastAsia="黑体" w:cs="黑体" w:hint="eastAsia"/>
        <w:sz w:val="21"/>
        <w:szCs w:val="21"/>
        <w:lang w:val="en-US" w:eastAsia="zh-CN"/>
      </w:rPr>
      <w:t xml:space="preserve"> DB 5119/T 00-2024</w:t>
    </w:r>
    <w:r>
      <mc:AlternateContent>
        <mc:Choice Requires="wps">
          <w:drawing>
            <wp:anchor distT="0" distB="0" distL="114298" distR="114298" simplePos="0" relativeHeight="2" behindDoc="1" locked="0" layoutInCell="1" hidden="0" allowOverlap="1">
              <wp:simplePos x="0" y="0"/>
              <wp:positionH relativeFrom="page">
                <wp:posOffset>5694045</wp:posOffset>
              </wp:positionH>
              <wp:positionV relativeFrom="page">
                <wp:posOffset>898525</wp:posOffset>
              </wp:positionV>
              <wp:extent cx="1157604" cy="185420"/>
              <wp:effectExtent l="0" t="0" r="0" b="0"/>
              <wp:wrapNone/>
              <wp:docPr id="8" name="docshape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57604" cy="18542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9">
                      <w:txbxContent>
                        <w:p/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docshape7 10" o:spid="_x0000_s10" filled="f" stroked="f" style="position:absolute;margin-left:448.34998pt;margin-top:70.75pt;width:91.14998pt;height:14.600001pt;z-index:-9;mso-position-horizontal:absolute;mso-position-horizontal-relative:page;mso-position-vertical:absolute;mso-position-vertical-relative:page;mso-wrap-distance-left:8.999863pt;mso-wrap-distance-right:8.999863pt;mso-wrap-style:square;">
              <v:stroke color="#000000"/>
              <v:textbox id="851" inset="0mm,0mm,0mm,0mm" o:insetmode="custom" style="layout-flow:horizontal;v-text-anchor:top;">
                <w:txbxContent>
                  <w:p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8CCA33E7"/>
    <w:multiLevelType w:val="hybridMultilevel"/>
    <w:tmpl w:val="00000000"/>
    <w:lvl w:ilvl="0">
      <w:start w:val="5"/>
      <w:numFmt w:val="decimal"/>
      <w:lvlRestart w:val="0"/>
      <w:lvlText w:val="%1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1">
    <w:nsid w:val="198F5DAC"/>
    <w:multiLevelType w:val="singleLevel"/>
    <w:tmpl w:val="0251A04A"/>
    <w:lvl w:ilvl="0">
      <w:start w:val="1"/>
      <w:numFmt w:val="decimal"/>
      <w:lvlRestart w:val="0"/>
      <w:pStyle w:val="15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">
    <w:nsid w:val="257EB3C4"/>
    <w:multiLevelType w:val="singleLevel"/>
    <w:tmpl w:val="387C44B3"/>
    <w:lvl w:ilvl="0">
      <w:start w:val="1"/>
      <w:numFmt w:val="decimal"/>
      <w:lvlRestart w:val="0"/>
      <w:pStyle w:val="18"/>
      <w:lvlText w:val="%1."/>
      <w:lvlJc w:val="left"/>
      <w:pPr>
        <w:tabs>
          <w:tab w:val="num" w:pos="0"/>
        </w:tabs>
        <w:ind w:left="1200" w:hanging="360"/>
      </w:pPr>
    </w:lvl>
  </w:abstractNum>
  <w:abstractNum w:abstractNumId="3">
    <w:nsid w:val="94086A14"/>
    <w:multiLevelType w:val="multilevel"/>
    <w:tmpl w:val="FBC2C71B"/>
    <w:lvl w:ilvl="0">
      <w:start w:val="1"/>
      <w:numFmt w:val="decimal"/>
      <w:lvlRestart w:val="0"/>
      <w:suff w:val="nothing"/>
      <w:lvlText w:val="%1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  <w:szCs w:val="21"/>
      </w:rPr>
    </w:lvl>
    <w:lvl w:ilvl="1">
      <w:start w:val="1"/>
      <w:numFmt w:val="decimal"/>
      <w:pStyle w:val="28"/>
      <w:suff w:val="nothing"/>
      <w:lvlText w:val="%1.%2　"/>
      <w:lvlJc w:val="left"/>
      <w:pPr>
        <w:tabs>
          <w:tab w:val="num" w:pos="0"/>
        </w:tabs>
        <w:ind w:left="0" w:hanging="0"/>
      </w:pPr>
      <w:rPr>
        <w:rFonts w:ascii="黑体" w:hAnsi="黑体" w:eastAsia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29"/>
      <w:suff w:val="nothing"/>
      <w:lvlText w:val="%1.%2.%3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720"/>
  <w:evenAndOddHeaders/>
  <w:drawingGridHorizontalSpacing w:val="110"/>
  <w:drawingGridVerticalSpacing w:val="156"/>
  <w:displayHorizontalDrawingGridEvery w:val="2"/>
  <w:displayVerticalDrawingGridEvery w:val="1"/>
  <w:compat>
    <w:spaceForUL/>
    <w:ulTrailSpace/>
    <w:shapeLayoutLikeWW8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cs="宋体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spacing w:before="54"/>
      <w:ind w:right="14"/>
      <w:jc w:val="center"/>
      <w:outlineLvl w:val="1"/>
    </w:pPr>
    <w:rPr>
      <w:rFonts w:ascii="黑体" w:eastAsia="黑体" w:cs="黑体"/>
      <w:sz w:val="32"/>
      <w:szCs w:val="32"/>
      <w:lang w:val="en-US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List Number 2"/>
    <w:basedOn w:val="0"/>
    <w:pPr>
      <w:numPr>
        <w:ilvl w:val="0"/>
        <w:numId w:val="2"/>
      </w:numPr>
    </w:pPr>
  </w:style>
  <w:style w:type="paragraph" w:styleId="16">
    <w:name w:val="table of authorities"/>
    <w:basedOn w:val="0"/>
    <w:next w:val="0"/>
    <w:pPr>
      <w:ind w:left="420"/>
    </w:pPr>
  </w:style>
  <w:style w:type="paragraph" w:styleId="17">
    <w:name w:val="Body Text"/>
    <w:basedOn w:val="0"/>
    <w:rPr>
      <w:rFonts w:ascii="宋体" w:eastAsia="宋体" w:cs="宋体"/>
      <w:sz w:val="21"/>
      <w:szCs w:val="21"/>
      <w:lang w:val="en-US" w:bidi="ar-SA"/>
    </w:rPr>
  </w:style>
  <w:style w:type="paragraph" w:styleId="18">
    <w:name w:val="List Number 3"/>
    <w:basedOn w:val="0"/>
    <w:pPr>
      <w:numPr>
        <w:ilvl w:val="0"/>
        <w:numId w:val="3"/>
      </w:numPr>
    </w:pPr>
  </w:style>
  <w:style w:type="paragraph" w:styleId="19">
    <w:name w:val="footer"/>
    <w:basedOn w:val="0"/>
    <w:pPr>
      <w:snapToGrid w:val="0"/>
      <w:ind w:rightChars="100" w:right="100"/>
      <w:jc w:val="right"/>
    </w:pPr>
    <w:rPr>
      <w:sz w:val="18"/>
      <w:szCs w:val="18"/>
    </w:rPr>
  </w:style>
  <w:style w:type="paragraph" w:styleId="20">
    <w:name w:val="header"/>
    <w:basedOn w:val="0"/>
    <w:pPr>
      <w:snapToGrid w:val="0"/>
      <w:jc w:val="left"/>
    </w:pPr>
    <w:rPr>
      <w:sz w:val="18"/>
      <w:szCs w:val="18"/>
    </w:rPr>
  </w:style>
  <w:style w:type="paragraph" w:styleId="21">
    <w:name w:val="Title"/>
    <w:basedOn w:val="0"/>
    <w:pPr>
      <w:spacing w:before="487"/>
      <w:ind w:left="1603"/>
    </w:pPr>
    <w:rPr>
      <w:rFonts w:ascii="Calibri" w:eastAsia="Calibri" w:cs="Calibri" w:hAnsi="Calibri"/>
      <w:b/>
      <w:bCs/>
      <w:sz w:val="96"/>
      <w:szCs w:val="96"/>
      <w:lang w:val="en-US" w:bidi="ar-SA"/>
    </w:rPr>
  </w:style>
  <w:style w:type="character" w:styleId="22">
    <w:name w:val="page number"/>
    <w:basedOn w:val="10"/>
  </w:style>
  <w:style w:type="paragraph" w:styleId="23">
    <w:name w:val="List Paragraph"/>
    <w:basedOn w:val="0"/>
    <w:pPr>
      <w:ind w:left="637" w:hanging="527"/>
    </w:pPr>
    <w:rPr>
      <w:rFonts w:ascii="黑体" w:eastAsia="黑体" w:cs="黑体"/>
      <w:lang w:val="en-US" w:bidi="ar-SA"/>
    </w:rPr>
  </w:style>
  <w:style w:type="paragraph" w:customStyle="1" w:styleId="24">
    <w:name w:val="Table Paragraph"/>
    <w:basedOn w:val="0"/>
    <w:rPr>
      <w:lang w:val="en-US" w:bidi="ar-SA"/>
    </w:rPr>
  </w:style>
  <w:style w:type="paragraph" w:customStyle="1" w:styleId="25">
    <w:name w:val="标准文件_段"/>
    <w:next w:val="26"/>
    <w:pPr>
      <w:autoSpaceDE w:val="0"/>
      <w:autoSpaceDN w:val="0"/>
      <w:ind w:firstLineChars="200" w:firstLine="200"/>
      <w:jc w:val="both"/>
    </w:pPr>
    <w:rPr>
      <w:rFonts w:ascii="宋体" w:eastAsia="宋体" w:cs="Times New Roman"/>
      <w:sz w:val="21"/>
      <w:szCs w:val="20"/>
      <w:lang w:val="en-US" w:eastAsia="zh-CN" w:bidi="ar-SA"/>
    </w:rPr>
  </w:style>
  <w:style w:type="paragraph" w:customStyle="1" w:styleId="26">
    <w:name w:val="其他标准标志"/>
    <w:basedOn w:val="0"/>
    <w:pPr>
      <w:framePr w:w="6101" w:hRule="exact" w:h="1389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27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200"/>
      <w:jc w:val="both"/>
    </w:pPr>
    <w:rPr>
      <w:rFonts w:ascii="宋体" w:eastAsia="宋体" w:cs="Times New Roman"/>
      <w:sz w:val="21"/>
      <w:szCs w:val="20"/>
      <w:lang w:val="en-US" w:eastAsia="zh-CN" w:bidi="ar-SA"/>
    </w:rPr>
  </w:style>
  <w:style w:type="paragraph" w:customStyle="1" w:styleId="28">
    <w:name w:val="一级条标题"/>
    <w:next w:val="27"/>
    <w:pPr>
      <w:numPr>
        <w:ilvl w:val="1"/>
        <w:numId w:val="4"/>
      </w:numPr>
      <w:spacing w:beforeLines="50" w:before="50" w:afterLines="50" w:after="50"/>
      <w:outlineLvl w:val="2"/>
    </w:pPr>
    <w:rPr>
      <w:rFonts w:ascii="黑体" w:eastAsia="黑体" w:cs="Times New Roman"/>
      <w:sz w:val="21"/>
      <w:szCs w:val="21"/>
      <w:lang w:val="en-US" w:eastAsia="zh-CN" w:bidi="ar-SA"/>
    </w:rPr>
  </w:style>
  <w:style w:type="paragraph" w:customStyle="1" w:styleId="29">
    <w:name w:val="二级条标题"/>
    <w:basedOn w:val="28"/>
    <w:next w:val="27"/>
    <w:pPr>
      <w:numPr>
        <w:ilvl w:val="2"/>
        <w:numId w:val="4"/>
      </w:numPr>
      <w:spacing w:beforeLines="0" w:before="50" w:afterLines="0" w:after="50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2.png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eader" Target="header6.xml"/><Relationship Id="rId16" Type="http://schemas.openxmlformats.org/officeDocument/2006/relationships/footer" Target="footer8.xml"/><Relationship Id="rId17" Type="http://schemas.openxmlformats.org/officeDocument/2006/relationships/image" Target="media/12.jpeg"/><Relationship Id="rId18" Type="http://schemas.openxmlformats.org/officeDocument/2006/relationships/styles" Target="styles.xml"/><Relationship Id="rId19" Type="http://schemas.openxmlformats.org/officeDocument/2006/relationships/numbering" Target="numbering.xml"/><Relationship Id="rId20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63</TotalTime>
  <Application>Yozo_Office27021597764231179</Application>
  <Pages>10</Pages>
  <Words>3254</Words>
  <Characters>4782</Characters>
  <Lines>270</Lines>
  <Paragraphs>179</Paragraphs>
  <CharactersWithSpaces>4976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地方标准</dc:title>
  <dc:creator>admin</dc:creator>
  <cp:lastModifiedBy>uos</cp:lastModifiedBy>
  <cp:revision>0</cp:revision>
  <dcterms:created xsi:type="dcterms:W3CDTF">2024-10-24T10:00:00Z</dcterms:created>
  <dcterms:modified xsi:type="dcterms:W3CDTF">2024-10-28T07:32:05Z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2024-09-01T16:00:00Z</vt:filetime>
  </property>
  <property fmtid="{D5CDD505-2E9C-101B-9397-08002B2CF9AE}" pid="3" name="Creator">
    <vt:lpwstr>WPS 文字</vt:lpwstr>
  </property>
  <property fmtid="{D5CDD505-2E9C-101B-9397-08002B2CF9AE}" pid="4" name="LastSaved">
    <vt:filetime>2024-10-23T16:00:00Z</vt:filetime>
  </property>
  <property fmtid="{D5CDD505-2E9C-101B-9397-08002B2CF9AE}" pid="5" name="SourceModified">
    <vt:lpwstr>D:20240902164340+08'43'</vt:lpwstr>
  </property>
  <property fmtid="{D5CDD505-2E9C-101B-9397-08002B2CF9AE}" pid="6" name="KSOProductBuildVer">
    <vt:lpwstr>2052-11.8.6.9023</vt:lpwstr>
  </property>
</Properties>
</file>